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EB" w:rsidRDefault="003D021C">
      <w:pPr>
        <w:rPr>
          <w:rFonts w:ascii="方正小标宋简体" w:eastAsia="方正小标宋简体" w:hAnsi="Times New Roman" w:cs="Times New Roman"/>
          <w:b/>
          <w:szCs w:val="21"/>
        </w:rPr>
      </w:pPr>
      <w:r>
        <w:rPr>
          <w:rFonts w:ascii="黑体" w:eastAsia="黑体" w:hint="eastAsia"/>
          <w:szCs w:val="21"/>
        </w:rPr>
        <w:t>附件</w:t>
      </w:r>
    </w:p>
    <w:p w:rsidR="009517EB" w:rsidRDefault="003D021C">
      <w:pPr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贵州林城人才派遣有限责任公司招聘</w:t>
      </w:r>
      <w:r w:rsidR="00EF3650" w:rsidRPr="00EF3650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财务管理和会计稽核人员</w:t>
      </w:r>
      <w:r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信息表</w:t>
      </w:r>
    </w:p>
    <w:p w:rsidR="00166842" w:rsidRDefault="00166842">
      <w:pPr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</w:p>
    <w:tbl>
      <w:tblPr>
        <w:tblW w:w="14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526"/>
        <w:gridCol w:w="1059"/>
        <w:gridCol w:w="695"/>
        <w:gridCol w:w="695"/>
        <w:gridCol w:w="4120"/>
        <w:gridCol w:w="1034"/>
        <w:gridCol w:w="3926"/>
        <w:gridCol w:w="1299"/>
      </w:tblGrid>
      <w:tr w:rsidR="009517EB">
        <w:trPr>
          <w:trHeight w:val="741"/>
          <w:jc w:val="center"/>
        </w:trPr>
        <w:tc>
          <w:tcPr>
            <w:tcW w:w="69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EB" w:rsidRDefault="003D021C">
            <w:pPr>
              <w:widowControl/>
              <w:spacing w:line="240" w:lineRule="atLeast"/>
              <w:jc w:val="center"/>
              <w:rPr>
                <w:rFonts w:ascii="仿宋_GB2312" w:eastAsia="仿宋_GB2312" w:hAnsi="Verdan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52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EB" w:rsidRDefault="003D021C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Verdan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人数</w:t>
            </w:r>
          </w:p>
        </w:tc>
        <w:tc>
          <w:tcPr>
            <w:tcW w:w="10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EB" w:rsidRDefault="003D021C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Verdan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69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EB" w:rsidRDefault="003D021C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Verdan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584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EB" w:rsidRDefault="003D021C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Verdan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报名条件</w:t>
            </w:r>
          </w:p>
        </w:tc>
        <w:tc>
          <w:tcPr>
            <w:tcW w:w="392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EB" w:rsidRDefault="003D021C">
            <w:pPr>
              <w:widowControl/>
              <w:spacing w:line="240" w:lineRule="atLeast"/>
              <w:jc w:val="center"/>
              <w:rPr>
                <w:rFonts w:ascii="仿宋_GB2312" w:eastAsia="仿宋_GB2312" w:hAnsi="Verdan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职位描述</w:t>
            </w:r>
          </w:p>
        </w:tc>
        <w:tc>
          <w:tcPr>
            <w:tcW w:w="1299" w:type="dxa"/>
            <w:vMerge w:val="restart"/>
            <w:vAlign w:val="center"/>
          </w:tcPr>
          <w:p w:rsidR="009517EB" w:rsidRDefault="003D021C">
            <w:pPr>
              <w:widowControl/>
              <w:spacing w:line="240" w:lineRule="atLeast"/>
              <w:jc w:val="center"/>
              <w:rPr>
                <w:rFonts w:ascii="仿宋_GB2312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工资待遇</w:t>
            </w:r>
          </w:p>
        </w:tc>
      </w:tr>
      <w:tr w:rsidR="009517EB" w:rsidTr="00C23EB0">
        <w:trPr>
          <w:trHeight w:val="525"/>
          <w:jc w:val="center"/>
        </w:trPr>
        <w:tc>
          <w:tcPr>
            <w:tcW w:w="697" w:type="dxa"/>
            <w:vMerge/>
            <w:vAlign w:val="center"/>
          </w:tcPr>
          <w:p w:rsidR="009517EB" w:rsidRDefault="009517EB">
            <w:pPr>
              <w:widowControl/>
              <w:jc w:val="center"/>
              <w:rPr>
                <w:rFonts w:ascii="仿宋_GB2312" w:eastAsia="仿宋_GB2312" w:hAnsi="Verdan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26" w:type="dxa"/>
            <w:vMerge/>
            <w:vAlign w:val="center"/>
          </w:tcPr>
          <w:p w:rsidR="009517EB" w:rsidRDefault="009517EB">
            <w:pPr>
              <w:widowControl/>
              <w:jc w:val="center"/>
              <w:rPr>
                <w:rFonts w:ascii="仿宋_GB2312" w:eastAsia="仿宋_GB2312" w:hAnsi="Verdan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vMerge/>
            <w:vAlign w:val="center"/>
          </w:tcPr>
          <w:p w:rsidR="009517EB" w:rsidRDefault="009517EB">
            <w:pPr>
              <w:widowControl/>
              <w:jc w:val="center"/>
              <w:rPr>
                <w:rFonts w:ascii="仿宋_GB2312" w:eastAsia="仿宋_GB2312" w:hAnsi="Verdan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vMerge/>
            <w:vAlign w:val="center"/>
          </w:tcPr>
          <w:p w:rsidR="009517EB" w:rsidRDefault="009517EB">
            <w:pPr>
              <w:widowControl/>
              <w:jc w:val="center"/>
              <w:rPr>
                <w:rFonts w:ascii="仿宋_GB2312" w:eastAsia="仿宋_GB2312" w:hAnsi="Verdan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EB" w:rsidRDefault="003D021C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Verdan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学历</w:t>
            </w:r>
          </w:p>
        </w:tc>
        <w:tc>
          <w:tcPr>
            <w:tcW w:w="4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EB" w:rsidRDefault="003D021C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Verdan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1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17EB" w:rsidRDefault="003D021C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Verdan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年龄</w:t>
            </w:r>
          </w:p>
        </w:tc>
        <w:tc>
          <w:tcPr>
            <w:tcW w:w="3926" w:type="dxa"/>
            <w:vMerge/>
            <w:vAlign w:val="center"/>
          </w:tcPr>
          <w:p w:rsidR="009517EB" w:rsidRDefault="009517EB">
            <w:pPr>
              <w:widowControl/>
              <w:jc w:val="left"/>
              <w:rPr>
                <w:rFonts w:ascii="仿宋_GB2312" w:eastAsia="仿宋_GB2312" w:hAnsi="Verdan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9517EB" w:rsidRDefault="009517EB">
            <w:pPr>
              <w:widowControl/>
              <w:jc w:val="left"/>
              <w:rPr>
                <w:rFonts w:ascii="仿宋_GB2312" w:eastAsia="仿宋_GB2312" w:hAnsi="Verdan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23EB0" w:rsidTr="00C23EB0">
        <w:trPr>
          <w:trHeight w:val="1087"/>
          <w:jc w:val="center"/>
        </w:trPr>
        <w:tc>
          <w:tcPr>
            <w:tcW w:w="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EB0" w:rsidRDefault="00C23EB0" w:rsidP="00C23EB0">
            <w:pPr>
              <w:widowControl/>
              <w:spacing w:line="240" w:lineRule="atLeast"/>
              <w:jc w:val="center"/>
              <w:rPr>
                <w:rFonts w:ascii="仿宋_GB2312" w:eastAsia="仿宋_GB2312" w:hAnsi="Verdana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5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EB0" w:rsidRDefault="00C23EB0" w:rsidP="00C23EB0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Verdana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EB0" w:rsidRDefault="00C23EB0" w:rsidP="00C23EB0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Verdana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Cs w:val="21"/>
              </w:rPr>
              <w:t>主管会计</w:t>
            </w:r>
          </w:p>
        </w:tc>
        <w:tc>
          <w:tcPr>
            <w:tcW w:w="6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EB0" w:rsidRDefault="00C23EB0" w:rsidP="00C23EB0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Verdana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6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EB0" w:rsidRDefault="00C23EB0" w:rsidP="00C23EB0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Verdana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Cs w:val="21"/>
              </w:rPr>
              <w:t>大专</w:t>
            </w:r>
          </w:p>
        </w:tc>
        <w:tc>
          <w:tcPr>
            <w:tcW w:w="4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EB0" w:rsidRDefault="00C23EB0" w:rsidP="00C23EB0">
            <w:pPr>
              <w:widowControl/>
              <w:spacing w:line="24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1.会计及相关专业，具有中级资格证书；</w:t>
            </w:r>
          </w:p>
          <w:p w:rsidR="00C23EB0" w:rsidRDefault="00C23EB0" w:rsidP="00C23EB0">
            <w:pPr>
              <w:widowControl/>
              <w:wordWrap w:val="0"/>
              <w:spacing w:line="24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2.熟练应用财务及office办公软件；</w:t>
            </w:r>
          </w:p>
          <w:p w:rsidR="00C23EB0" w:rsidRDefault="00C23EB0" w:rsidP="00C23EB0">
            <w:pPr>
              <w:widowControl/>
              <w:wordWrap w:val="0"/>
              <w:spacing w:line="24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 中级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职称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，具有5年以上</w:t>
            </w:r>
            <w:r w:rsidRPr="000501D6">
              <w:rPr>
                <w:rFonts w:ascii="仿宋_GB2312" w:eastAsia="仿宋_GB2312" w:hAnsi="宋体" w:hint="eastAsia"/>
                <w:color w:val="222222"/>
                <w:szCs w:val="21"/>
                <w:shd w:val="clear" w:color="auto" w:fill="FFFFFF"/>
              </w:rPr>
              <w:t>企业财务会计管理和核算工作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经验；</w:t>
            </w:r>
          </w:p>
          <w:p w:rsidR="00C23EB0" w:rsidRDefault="00C23EB0" w:rsidP="00C23EB0">
            <w:pPr>
              <w:widowControl/>
              <w:wordWrap w:val="0"/>
              <w:spacing w:line="24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4. 工作认真细致，吃苦耐劳，思维敏捷，接受力强，能独立思考，善于总结工作。</w:t>
            </w:r>
            <w:r>
              <w:rPr>
                <w:rFonts w:ascii="仿宋_GB2312" w:eastAsia="仿宋_GB2312" w:hAnsi="Verdana" w:cs="宋体" w:hint="eastAsia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EB0" w:rsidRDefault="00C23EB0" w:rsidP="00C23EB0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Verdana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/>
                <w:color w:val="000000" w:themeColor="text1"/>
                <w:kern w:val="0"/>
                <w:szCs w:val="21"/>
              </w:rPr>
              <w:t>40</w:t>
            </w:r>
            <w:r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岁以下（1979年4月15日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</w:rPr>
              <w:t>以后出生</w:t>
            </w:r>
            <w:r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39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EB0" w:rsidRPr="0040200C" w:rsidRDefault="00C23EB0" w:rsidP="00C23EB0">
            <w:pPr>
              <w:rPr>
                <w:rFonts w:ascii="仿宋_GB2312" w:eastAsia="仿宋_GB2312" w:hAnsi="Verdana" w:cs="宋体"/>
                <w:color w:val="000000" w:themeColor="text1"/>
                <w:kern w:val="0"/>
                <w:szCs w:val="21"/>
              </w:rPr>
            </w:pPr>
            <w:r w:rsidRPr="0040200C">
              <w:rPr>
                <w:rFonts w:ascii="仿宋_GB2312" w:eastAsia="仿宋_GB2312" w:hAnsi="宋体" w:hint="eastAsia"/>
                <w:color w:val="222222"/>
                <w:szCs w:val="21"/>
                <w:shd w:val="clear" w:color="auto" w:fill="FFFFFF"/>
              </w:rPr>
              <w:t>按照企业财会制度和会计核算管理有关规定，负责企业财务会计管理和核算工作，负责税务核算与缴纳，全部帐</w:t>
            </w:r>
            <w:proofErr w:type="gramStart"/>
            <w:r w:rsidRPr="0040200C">
              <w:rPr>
                <w:rFonts w:ascii="仿宋_GB2312" w:eastAsia="仿宋_GB2312" w:hAnsi="宋体" w:hint="eastAsia"/>
                <w:color w:val="222222"/>
                <w:szCs w:val="21"/>
                <w:shd w:val="clear" w:color="auto" w:fill="FFFFFF"/>
              </w:rPr>
              <w:t>务</w:t>
            </w:r>
            <w:proofErr w:type="gramEnd"/>
            <w:r w:rsidRPr="0040200C">
              <w:rPr>
                <w:rFonts w:ascii="仿宋_GB2312" w:eastAsia="仿宋_GB2312" w:hAnsi="宋体" w:hint="eastAsia"/>
                <w:color w:val="222222"/>
                <w:szCs w:val="21"/>
                <w:shd w:val="clear" w:color="auto" w:fill="FFFFFF"/>
              </w:rPr>
              <w:t>统筹，出</w:t>
            </w:r>
            <w:r>
              <w:rPr>
                <w:rFonts w:ascii="仿宋_GB2312" w:eastAsia="仿宋_GB2312" w:hAnsi="宋体" w:hint="eastAsia"/>
                <w:color w:val="222222"/>
                <w:szCs w:val="21"/>
                <w:shd w:val="clear" w:color="auto" w:fill="FFFFFF"/>
              </w:rPr>
              <w:t>据各类</w:t>
            </w:r>
            <w:r w:rsidRPr="0040200C">
              <w:rPr>
                <w:rFonts w:ascii="仿宋_GB2312" w:eastAsia="仿宋_GB2312" w:hAnsi="宋体" w:hint="eastAsia"/>
                <w:color w:val="222222"/>
                <w:szCs w:val="21"/>
                <w:shd w:val="clear" w:color="auto" w:fill="FFFFFF"/>
              </w:rPr>
              <w:t>报表</w:t>
            </w:r>
            <w:r>
              <w:rPr>
                <w:rFonts w:ascii="仿宋_GB2312" w:eastAsia="仿宋_GB2312" w:hAnsi="宋体" w:hint="eastAsia"/>
                <w:color w:val="222222"/>
                <w:szCs w:val="21"/>
                <w:shd w:val="clear" w:color="auto" w:fill="FFFFFF"/>
              </w:rPr>
              <w:t>、财务报告</w:t>
            </w:r>
            <w:r w:rsidRPr="0040200C">
              <w:rPr>
                <w:rFonts w:ascii="仿宋_GB2312" w:eastAsia="仿宋_GB2312" w:hAnsi="宋体" w:hint="eastAsia"/>
                <w:color w:val="222222"/>
                <w:szCs w:val="21"/>
                <w:shd w:val="clear" w:color="auto" w:fill="FFFFFF"/>
              </w:rPr>
              <w:t>等工作。</w:t>
            </w:r>
          </w:p>
        </w:tc>
        <w:tc>
          <w:tcPr>
            <w:tcW w:w="1299" w:type="dxa"/>
            <w:vAlign w:val="center"/>
          </w:tcPr>
          <w:p w:rsidR="00C23EB0" w:rsidRDefault="00C23EB0" w:rsidP="00C23EB0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color w:val="222222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color w:val="222222"/>
                <w:szCs w:val="21"/>
                <w:shd w:val="clear" w:color="auto" w:fill="FFFFFF"/>
              </w:rPr>
              <w:t>1.转正</w:t>
            </w:r>
            <w:r>
              <w:rPr>
                <w:rFonts w:ascii="仿宋_GB2312" w:eastAsia="仿宋_GB2312" w:hAnsi="宋体"/>
                <w:color w:val="222222"/>
                <w:szCs w:val="21"/>
                <w:shd w:val="clear" w:color="auto" w:fill="FFFFFF"/>
              </w:rPr>
              <w:t>后5500</w:t>
            </w:r>
            <w:r>
              <w:rPr>
                <w:rFonts w:ascii="仿宋_GB2312" w:eastAsia="仿宋_GB2312" w:hAnsi="宋体" w:hint="eastAsia"/>
                <w:color w:val="222222"/>
                <w:szCs w:val="21"/>
                <w:shd w:val="clear" w:color="auto" w:fill="FFFFFF"/>
              </w:rPr>
              <w:t>元以上（含五险</w:t>
            </w:r>
            <w:proofErr w:type="gramStart"/>
            <w:r>
              <w:rPr>
                <w:rFonts w:ascii="仿宋_GB2312" w:eastAsia="仿宋_GB2312" w:hAnsi="宋体" w:hint="eastAsia"/>
                <w:color w:val="222222"/>
                <w:szCs w:val="21"/>
                <w:shd w:val="clear" w:color="auto" w:fill="FFFFFF"/>
              </w:rPr>
              <w:t>一</w:t>
            </w:r>
            <w:proofErr w:type="gramEnd"/>
            <w:r>
              <w:rPr>
                <w:rFonts w:ascii="仿宋_GB2312" w:eastAsia="仿宋_GB2312" w:hAnsi="宋体" w:hint="eastAsia"/>
                <w:color w:val="222222"/>
                <w:szCs w:val="21"/>
                <w:shd w:val="clear" w:color="auto" w:fill="FFFFFF"/>
              </w:rPr>
              <w:t>金个人缴交），不含年终奖；</w:t>
            </w:r>
          </w:p>
          <w:p w:rsidR="00C23EB0" w:rsidRDefault="00C23EB0" w:rsidP="00C23EB0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color w:val="222222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color w:val="222222"/>
                <w:szCs w:val="21"/>
                <w:shd w:val="clear" w:color="auto" w:fill="FFFFFF"/>
              </w:rPr>
              <w:t>2.包早餐中</w:t>
            </w:r>
            <w:r w:rsidR="00131583">
              <w:rPr>
                <w:rFonts w:ascii="仿宋_GB2312" w:eastAsia="仿宋_GB2312" w:hAnsi="宋体" w:hint="eastAsia"/>
                <w:color w:val="222222"/>
                <w:szCs w:val="21"/>
                <w:shd w:val="clear" w:color="auto" w:fill="FFFFFF"/>
              </w:rPr>
              <w:t>餐</w:t>
            </w:r>
          </w:p>
        </w:tc>
      </w:tr>
      <w:tr w:rsidR="00C23EB0" w:rsidTr="00C23EB0">
        <w:trPr>
          <w:trHeight w:val="1114"/>
          <w:jc w:val="center"/>
        </w:trPr>
        <w:tc>
          <w:tcPr>
            <w:tcW w:w="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EB0" w:rsidRDefault="00C23EB0" w:rsidP="00C23EB0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Verdana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5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EB0" w:rsidRDefault="00C23EB0" w:rsidP="00C23EB0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Verdana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0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EB0" w:rsidRDefault="00C23EB0" w:rsidP="00C23EB0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Verdana" w:cs="宋体"/>
                <w:color w:val="000000" w:themeColor="text1"/>
                <w:kern w:val="0"/>
                <w:szCs w:val="21"/>
              </w:rPr>
            </w:pPr>
            <w:r w:rsidRPr="00EF3650">
              <w:rPr>
                <w:rFonts w:ascii="仿宋_GB2312" w:eastAsia="仿宋_GB2312" w:hAnsi="Verdana" w:cs="宋体" w:hint="eastAsia"/>
                <w:color w:val="000000" w:themeColor="text1"/>
                <w:kern w:val="0"/>
                <w:szCs w:val="21"/>
              </w:rPr>
              <w:t>财务稽核</w:t>
            </w:r>
          </w:p>
        </w:tc>
        <w:tc>
          <w:tcPr>
            <w:tcW w:w="6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EB0" w:rsidRDefault="00C23EB0" w:rsidP="00C23EB0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Verdana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Cs w:val="21"/>
              </w:rPr>
              <w:t>02</w:t>
            </w:r>
          </w:p>
        </w:tc>
        <w:tc>
          <w:tcPr>
            <w:tcW w:w="6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EB0" w:rsidRDefault="00792163" w:rsidP="00C23EB0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Verdana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Cs w:val="21"/>
              </w:rPr>
              <w:t>本科</w:t>
            </w:r>
          </w:p>
        </w:tc>
        <w:tc>
          <w:tcPr>
            <w:tcW w:w="4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EB0" w:rsidRDefault="00C23EB0" w:rsidP="00C23EB0">
            <w:pPr>
              <w:widowControl/>
              <w:spacing w:line="24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1.会计及相关专业，具有初级资格证书；</w:t>
            </w:r>
          </w:p>
          <w:p w:rsidR="00C23EB0" w:rsidRDefault="00C23EB0" w:rsidP="00C23EB0">
            <w:pPr>
              <w:widowControl/>
              <w:wordWrap w:val="0"/>
              <w:spacing w:line="24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2.熟练应用财务及office办公软件；</w:t>
            </w:r>
          </w:p>
          <w:p w:rsidR="00C23EB0" w:rsidRDefault="00C23EB0" w:rsidP="00C23EB0">
            <w:pPr>
              <w:widowControl/>
              <w:wordWrap w:val="0"/>
              <w:spacing w:line="240" w:lineRule="atLeas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 初级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职称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，具有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年以上</w:t>
            </w:r>
            <w:r w:rsidRPr="000501D6">
              <w:rPr>
                <w:rFonts w:ascii="仿宋_GB2312" w:eastAsia="仿宋_GB2312" w:hAnsi="宋体" w:hint="eastAsia"/>
                <w:color w:val="222222"/>
                <w:szCs w:val="21"/>
                <w:shd w:val="clear" w:color="auto" w:fill="FFFFFF"/>
              </w:rPr>
              <w:t>企业财务会计核算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及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相关工作经验；</w:t>
            </w:r>
          </w:p>
          <w:p w:rsidR="00C23EB0" w:rsidRDefault="00C23EB0" w:rsidP="00C23EB0">
            <w:pPr>
              <w:widowControl/>
              <w:wordWrap w:val="0"/>
              <w:spacing w:line="240" w:lineRule="atLeast"/>
              <w:jc w:val="left"/>
              <w:rPr>
                <w:rFonts w:ascii="仿宋_GB2312" w:eastAsia="仿宋_GB2312" w:hAnsi="Verdana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4.工作认真细致，吃苦耐劳，思维敏捷，接受力强，能独立思考，善于总结工作。</w:t>
            </w:r>
          </w:p>
        </w:tc>
        <w:tc>
          <w:tcPr>
            <w:tcW w:w="1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EB0" w:rsidRDefault="00C23EB0" w:rsidP="00C23EB0">
            <w:pPr>
              <w:widowControl/>
              <w:wordWrap w:val="0"/>
              <w:spacing w:line="240" w:lineRule="atLeast"/>
              <w:jc w:val="center"/>
              <w:rPr>
                <w:rFonts w:ascii="仿宋_GB2312" w:eastAsia="仿宋_GB2312" w:hAnsi="Verdana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/>
                <w:color w:val="000000" w:themeColor="text1"/>
                <w:kern w:val="0"/>
                <w:szCs w:val="21"/>
              </w:rPr>
              <w:t>35</w:t>
            </w:r>
            <w:r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岁以下（1984年4月15日以后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</w:rPr>
              <w:t>出生</w:t>
            </w:r>
            <w:r>
              <w:rPr>
                <w:rFonts w:ascii="仿宋_GB2312" w:eastAsia="仿宋_GB2312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3926" w:type="dxa"/>
            <w:shd w:val="clear" w:color="auto" w:fill="auto"/>
            <w:vAlign w:val="center"/>
          </w:tcPr>
          <w:p w:rsidR="00C23EB0" w:rsidRDefault="00C23EB0" w:rsidP="00C23EB0">
            <w:pPr>
              <w:widowControl/>
              <w:jc w:val="left"/>
              <w:rPr>
                <w:rFonts w:ascii="仿宋_GB2312" w:eastAsia="仿宋_GB2312" w:hAnsi="Arial" w:cs="Arial"/>
                <w:color w:val="414141"/>
                <w:szCs w:val="21"/>
              </w:rPr>
            </w:pPr>
            <w:r>
              <w:rPr>
                <w:rFonts w:ascii="仿宋_GB2312" w:eastAsia="仿宋_GB2312" w:hAnsi="宋体" w:hint="eastAsia"/>
                <w:color w:val="222222"/>
                <w:szCs w:val="21"/>
                <w:shd w:val="clear" w:color="auto" w:fill="FFFFFF"/>
              </w:rPr>
              <w:t>在部门负责人的领导下，按照公司财会制度和核算管理有关规定，负责公司各种核算和其他业务的</w:t>
            </w:r>
            <w:proofErr w:type="gramStart"/>
            <w:r>
              <w:rPr>
                <w:rFonts w:ascii="仿宋_GB2312" w:eastAsia="仿宋_GB2312" w:hAnsi="宋体" w:hint="eastAsia"/>
                <w:color w:val="222222"/>
                <w:szCs w:val="21"/>
                <w:shd w:val="clear" w:color="auto" w:fill="FFFFFF"/>
              </w:rPr>
              <w:t>记帐</w:t>
            </w:r>
            <w:proofErr w:type="gramEnd"/>
            <w:r>
              <w:rPr>
                <w:rFonts w:ascii="仿宋_GB2312" w:eastAsia="仿宋_GB2312" w:hAnsi="宋体" w:hint="eastAsia"/>
                <w:color w:val="222222"/>
                <w:szCs w:val="21"/>
                <w:shd w:val="clear" w:color="auto" w:fill="FFFFFF"/>
              </w:rPr>
              <w:t>工作。</w:t>
            </w:r>
          </w:p>
        </w:tc>
        <w:tc>
          <w:tcPr>
            <w:tcW w:w="1299" w:type="dxa"/>
            <w:vAlign w:val="center"/>
          </w:tcPr>
          <w:p w:rsidR="00C23EB0" w:rsidRDefault="00C23EB0" w:rsidP="00C23EB0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color w:val="222222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color w:val="222222"/>
                <w:szCs w:val="21"/>
                <w:shd w:val="clear" w:color="auto" w:fill="FFFFFF"/>
              </w:rPr>
              <w:t>1.转正</w:t>
            </w:r>
            <w:r>
              <w:rPr>
                <w:rFonts w:ascii="仿宋_GB2312" w:eastAsia="仿宋_GB2312" w:hAnsi="宋体"/>
                <w:color w:val="222222"/>
                <w:szCs w:val="21"/>
                <w:shd w:val="clear" w:color="auto" w:fill="FFFFFF"/>
              </w:rPr>
              <w:t>后4200</w:t>
            </w:r>
            <w:r>
              <w:rPr>
                <w:rFonts w:ascii="仿宋_GB2312" w:eastAsia="仿宋_GB2312" w:hAnsi="宋体" w:hint="eastAsia"/>
                <w:color w:val="222222"/>
                <w:szCs w:val="21"/>
                <w:shd w:val="clear" w:color="auto" w:fill="FFFFFF"/>
              </w:rPr>
              <w:t>元以上（含五险</w:t>
            </w:r>
            <w:proofErr w:type="gramStart"/>
            <w:r>
              <w:rPr>
                <w:rFonts w:ascii="仿宋_GB2312" w:eastAsia="仿宋_GB2312" w:hAnsi="宋体" w:hint="eastAsia"/>
                <w:color w:val="222222"/>
                <w:szCs w:val="21"/>
                <w:shd w:val="clear" w:color="auto" w:fill="FFFFFF"/>
              </w:rPr>
              <w:t>一</w:t>
            </w:r>
            <w:proofErr w:type="gramEnd"/>
            <w:r>
              <w:rPr>
                <w:rFonts w:ascii="仿宋_GB2312" w:eastAsia="仿宋_GB2312" w:hAnsi="宋体" w:hint="eastAsia"/>
                <w:color w:val="222222"/>
                <w:szCs w:val="21"/>
                <w:shd w:val="clear" w:color="auto" w:fill="FFFFFF"/>
              </w:rPr>
              <w:t>金个人缴交），不含年终奖；</w:t>
            </w:r>
          </w:p>
          <w:p w:rsidR="00C23EB0" w:rsidRDefault="00C23EB0" w:rsidP="00C23EB0">
            <w:pPr>
              <w:widowControl/>
              <w:jc w:val="center"/>
              <w:rPr>
                <w:rFonts w:ascii="仿宋_GB2312" w:eastAsia="仿宋_GB2312" w:hAnsi="Arial" w:cs="Arial"/>
                <w:color w:val="414141"/>
                <w:szCs w:val="21"/>
              </w:rPr>
            </w:pPr>
            <w:r>
              <w:rPr>
                <w:rFonts w:ascii="仿宋_GB2312" w:eastAsia="仿宋_GB2312" w:hAnsi="宋体" w:hint="eastAsia"/>
                <w:color w:val="222222"/>
                <w:szCs w:val="21"/>
                <w:shd w:val="clear" w:color="auto" w:fill="FFFFFF"/>
              </w:rPr>
              <w:t>2.包早餐中</w:t>
            </w:r>
            <w:r w:rsidR="00131583">
              <w:rPr>
                <w:rFonts w:ascii="仿宋_GB2312" w:eastAsia="仿宋_GB2312" w:hAnsi="宋体" w:hint="eastAsia"/>
                <w:color w:val="222222"/>
                <w:szCs w:val="21"/>
                <w:shd w:val="clear" w:color="auto" w:fill="FFFFFF"/>
              </w:rPr>
              <w:t>餐</w:t>
            </w:r>
            <w:bookmarkStart w:id="0" w:name="_GoBack"/>
            <w:bookmarkEnd w:id="0"/>
          </w:p>
        </w:tc>
      </w:tr>
    </w:tbl>
    <w:p w:rsidR="009517EB" w:rsidRDefault="009517EB"/>
    <w:sectPr w:rsidR="009517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D41" w:rsidRDefault="00560D41" w:rsidP="00166842">
      <w:r>
        <w:separator/>
      </w:r>
    </w:p>
  </w:endnote>
  <w:endnote w:type="continuationSeparator" w:id="0">
    <w:p w:rsidR="00560D41" w:rsidRDefault="00560D41" w:rsidP="0016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D41" w:rsidRDefault="00560D41" w:rsidP="00166842">
      <w:r>
        <w:separator/>
      </w:r>
    </w:p>
  </w:footnote>
  <w:footnote w:type="continuationSeparator" w:id="0">
    <w:p w:rsidR="00560D41" w:rsidRDefault="00560D41" w:rsidP="00166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532B4"/>
    <w:multiLevelType w:val="singleLevel"/>
    <w:tmpl w:val="54F532B4"/>
    <w:lvl w:ilvl="0">
      <w:start w:val="4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38"/>
    <w:rsid w:val="00035A00"/>
    <w:rsid w:val="000501D6"/>
    <w:rsid w:val="00054B7E"/>
    <w:rsid w:val="000A1B22"/>
    <w:rsid w:val="00126ECC"/>
    <w:rsid w:val="00131583"/>
    <w:rsid w:val="00166842"/>
    <w:rsid w:val="001774E3"/>
    <w:rsid w:val="00186CAB"/>
    <w:rsid w:val="001A6528"/>
    <w:rsid w:val="001F52EC"/>
    <w:rsid w:val="00261764"/>
    <w:rsid w:val="002A5188"/>
    <w:rsid w:val="002F1BE2"/>
    <w:rsid w:val="002F3B48"/>
    <w:rsid w:val="003D021C"/>
    <w:rsid w:val="003E6C2E"/>
    <w:rsid w:val="0040200C"/>
    <w:rsid w:val="00402BC8"/>
    <w:rsid w:val="004155AD"/>
    <w:rsid w:val="00453FC9"/>
    <w:rsid w:val="004A69A8"/>
    <w:rsid w:val="004B1328"/>
    <w:rsid w:val="004B17C7"/>
    <w:rsid w:val="004F0D04"/>
    <w:rsid w:val="00516B56"/>
    <w:rsid w:val="00560D41"/>
    <w:rsid w:val="005679DF"/>
    <w:rsid w:val="00570B72"/>
    <w:rsid w:val="00585883"/>
    <w:rsid w:val="006167F4"/>
    <w:rsid w:val="00667D82"/>
    <w:rsid w:val="006C5DCF"/>
    <w:rsid w:val="00772D83"/>
    <w:rsid w:val="00792163"/>
    <w:rsid w:val="00881412"/>
    <w:rsid w:val="009361F3"/>
    <w:rsid w:val="009517EB"/>
    <w:rsid w:val="009D4489"/>
    <w:rsid w:val="009D4491"/>
    <w:rsid w:val="009D7AA5"/>
    <w:rsid w:val="00A53984"/>
    <w:rsid w:val="00B13111"/>
    <w:rsid w:val="00BF32C5"/>
    <w:rsid w:val="00C02C17"/>
    <w:rsid w:val="00C23EB0"/>
    <w:rsid w:val="00C41517"/>
    <w:rsid w:val="00CE780C"/>
    <w:rsid w:val="00DA7FD9"/>
    <w:rsid w:val="00DC7898"/>
    <w:rsid w:val="00DD2C46"/>
    <w:rsid w:val="00DF7D12"/>
    <w:rsid w:val="00E05538"/>
    <w:rsid w:val="00E32591"/>
    <w:rsid w:val="00EF3650"/>
    <w:rsid w:val="00EF799A"/>
    <w:rsid w:val="00F40784"/>
    <w:rsid w:val="00F42154"/>
    <w:rsid w:val="00FA264E"/>
    <w:rsid w:val="0AE4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EF365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F365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EF365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F36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>MS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lrs1</cp:lastModifiedBy>
  <cp:revision>3</cp:revision>
  <cp:lastPrinted>2019-03-29T01:19:00Z</cp:lastPrinted>
  <dcterms:created xsi:type="dcterms:W3CDTF">2019-04-03T03:51:00Z</dcterms:created>
  <dcterms:modified xsi:type="dcterms:W3CDTF">2019-04-03T07:13:00Z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