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贵州山地美农农业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有限公司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人才引进人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员职位一览表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91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25"/>
        <w:gridCol w:w="591"/>
        <w:gridCol w:w="1029"/>
        <w:gridCol w:w="4380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  <w:t>待遇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岗位要求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财务管理部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会计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根据美农公司薪酬管理制度执行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要求全日制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及以上学历，经济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、财务管理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金融学、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会计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专业；有较好的人际沟通能力；具有较强的管理能力及工作协调能力；具备必要的专业知识、专业技能和良好的职业道德；工作责任心强；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周岁以上（19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以前出生），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全日制硕士研究生学历及以上或具备中级及以上职称的可放宽到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年及以后出生）。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经济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、财务管理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金融学、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会计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年以上相关工作经历或取得相关资格证书者优先。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综合行政部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行政专员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根据美农公司薪酬管理制度执行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要求全日制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及以上学历，具备扎实的写作基础；具备较好的人际沟通能力和较强的管理能力及工作协调能力；具备必要的专业知识、良好的职业道德和较强的工作责任心；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周岁以上（19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以前出生），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全日制硕士研究生学历及以上或具备中级及以上职称的可放宽到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年及以后出生）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人力资源、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4"/>
                <w:shd w:val="clear" w:color="auto" w:fill="FFFFFF"/>
              </w:rPr>
              <w:t>秘书学、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文学类、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行政管理学、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4"/>
                <w:shd w:val="clear" w:color="auto" w:fill="FFFFFF"/>
              </w:rPr>
              <w:t>新闻传播学类、档案学、经济学类、工商管理学类专业且具备2年以上相关工作经历优先。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产业发展部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工程类专业技术人员1人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根据美农公司薪酬管理制度执行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要求全日制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</w:rPr>
              <w:t>及以上学历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基本掌握现代生产管理和技术管理的方法，有独立解决比较复杂的技术问题的能力；有一定从事生产、技术管理工作的实践经验，取得有使用价值的技术成果和技术经济效益；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Chars="0"/>
              <w:jc w:val="both"/>
              <w:rPr>
                <w:rFonts w:hint="default" w:ascii="仿宋_GB2312" w:hAnsi="Wingdings" w:eastAsia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周岁以上（19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以前出生），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全日制硕士研究生学历及以上或具备中级及以上职称的可放宽到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年及以后出生）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Wingdings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中级以上职称，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年以上相关工作经历或取得相关资格证书者优先。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0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2019-12-23T01:52:54Z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