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both"/>
        <w:textAlignment w:val="auto"/>
        <w:rPr>
          <w:rFonts w:hint="default" w:ascii="黑体" w:hAnsi="黑体" w:eastAsia="黑体" w:cs="黑体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玉屏侗族自治县202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年事业单位引进高层次及急需紧缺人才高校名单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（综合管理类岗位）</w:t>
      </w: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(一)第一类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8"/>
        <w:gridCol w:w="2822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  <w:t>北京大学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清华大学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中国人民大学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北京航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空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航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天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北京理工大学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中国农业大学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北京师范大学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中央民族大学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南开大学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天津大学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大连理工大学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东北大学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吉林大学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  <w:t>哈尔滨工业大学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复旦大学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同济大学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上海交通大学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华东师范大学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南京大学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东南大学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浙江大学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中国科学技术大学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厦门大学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山东大学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中国海洋大学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武汉大学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华中科技大学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湖南大学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中南大学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中山大学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华南理工大学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四川大学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重庆大学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西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交通大学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电子科技大学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西北工业大学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西北农林科技大学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兰州大学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国防科技大学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50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(二)第二类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北京交通大学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北京工业大学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北京科技大学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北京化工大学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北京邮电大学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北京林业大学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北京中医药大学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北京外国语大学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中国传媒大学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中央财经大学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对外经济贸易大学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北京体育大学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中央音乐学院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中国政法大学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天津医科大学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华北电力大学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河北工业大学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太原理工大学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内蒙古大学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辽宁大学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大连海事大学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延边大学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东北师范大学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哈尔滨工程大学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东北农业大学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东北林业大学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华东理工大学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东华大学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上海外国语大学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上海财经大学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上海大学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苏州大学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bookmarkStart w:id="0" w:name="_GoBack"/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南京</w:t>
            </w:r>
            <w:bookmarkEnd w:id="0"/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航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空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航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天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南京理工大学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中国矿业大学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河海大学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江南大学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南京农业大学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中国药科大学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南京师范大学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安徽大学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合肥工业大学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福州大学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南昌大学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23"/>
                <w:sz w:val="32"/>
                <w:szCs w:val="32"/>
                <w:lang w:val="en-US" w:eastAsia="zh-CN"/>
              </w:rPr>
              <w:t>中国石油大学（华东）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郑州大学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0"/>
                <w:sz w:val="32"/>
                <w:szCs w:val="32"/>
                <w:lang w:val="en-US" w:eastAsia="zh-CN"/>
              </w:rPr>
              <w:t>中国地质大学（武汉）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武汉理工大学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华中农业大学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华中师范大学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中南财经政法大学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湖南师范大学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暨南大学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华南农业大学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华南师范大学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海南大学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广西大学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广西师范大学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西藏大学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四川农业大学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四川师范大学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西南大学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西南财经大学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重庆师范大学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中国科学院大学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贵州大学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贵州师范大学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云南大学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  <w:t>云南师范大学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西北大学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西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南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交通大学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西安电子科技大学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长安大学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陕西师范大学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青海大学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宁夏大学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新疆大学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石河子大学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0"/>
                <w:sz w:val="32"/>
                <w:szCs w:val="32"/>
                <w:lang w:val="en-US" w:eastAsia="zh-CN"/>
              </w:rPr>
              <w:t>中国石油大学（北京）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0"/>
                <w:sz w:val="32"/>
                <w:szCs w:val="32"/>
                <w:lang w:val="en-US" w:eastAsia="zh-CN"/>
              </w:rPr>
              <w:t>中国矿业大学（北京）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0"/>
                <w:sz w:val="32"/>
                <w:szCs w:val="32"/>
                <w:lang w:val="en-US" w:eastAsia="zh-CN"/>
              </w:rPr>
              <w:t>中国地质大学（北京）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0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0"/>
                <w:sz w:val="28"/>
                <w:szCs w:val="28"/>
                <w:lang w:val="en-US" w:eastAsia="zh-CN"/>
              </w:rPr>
              <w:t>海军军医大学（第二军医大学）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0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0"/>
                <w:sz w:val="28"/>
                <w:szCs w:val="28"/>
                <w:lang w:val="en-US" w:eastAsia="zh-CN"/>
              </w:rPr>
              <w:t>空军军医大学（第四军医大学）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北京协和医学院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首都师范大学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外交学院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中国人民公安大学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中国音乐学院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中央美术学院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中央戏剧学院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天津工业大学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天津中医药大学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山西大学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上海海洋大学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上海中医药大学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上海体育学院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上海音乐学院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南京邮电大学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南京信息工程大学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南京林业大学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南京医科大学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南京中医药大学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河南大学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中国美术学院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湘潭大学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广州医科大学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广州中医药大学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西南石油大学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成都理工大学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成都中医药大学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宁波大学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南方科技大学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上海科技大学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哈佛大学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斯坦福大学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麻省理工学院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剑桥大学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加州大学-伯克利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普林斯顿大学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牛津大学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哥伦比亚大学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加州理工学院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芝加哥大学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耶鲁大学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康奈尔大学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加州大学-洛杉矶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8"/>
                <w:sz w:val="32"/>
                <w:szCs w:val="32"/>
              </w:rPr>
              <w:t>约翰斯·霍普金斯大学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宾夕法尼亚大学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巴黎萨克雷大学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华盛顿大学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伦敦大学学院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加州大学-旧金山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3"/>
                <w:sz w:val="32"/>
                <w:szCs w:val="32"/>
              </w:rPr>
              <w:t>苏黎世联邦理工学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3"/>
                <w:sz w:val="32"/>
                <w:szCs w:val="32"/>
                <w:lang w:eastAsia="zh-CN"/>
              </w:rPr>
              <w:t>院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</w:rPr>
              <w:t>加州大学-圣地亚哥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多伦多大学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帝国理工学院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东京大学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纽约大学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8"/>
                <w:sz w:val="32"/>
                <w:szCs w:val="32"/>
              </w:rPr>
              <w:t>华盛顿大学-圣路易斯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32"/>
                <w:szCs w:val="32"/>
              </w:rPr>
              <w:t>密歇根大学-安娜堡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5"/>
                <w:sz w:val="32"/>
                <w:szCs w:val="32"/>
              </w:rPr>
              <w:t>北卡罗来纳大学-教堂山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32"/>
                <w:szCs w:val="32"/>
              </w:rPr>
              <w:t>西北大学（埃文斯顿）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杜克大学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墨尔本大学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8"/>
                <w:sz w:val="32"/>
                <w:szCs w:val="32"/>
              </w:rPr>
              <w:t>威斯康星大学-麦迪逊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爱丁堡大学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34"/>
                <w:sz w:val="28"/>
                <w:szCs w:val="28"/>
              </w:rPr>
              <w:t>德克萨斯州大学奥斯汀分校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曼彻斯特大学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哥本哈根大学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巴黎文理研究大学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卡罗林斯卡学院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京都大学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索邦大学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洛克菲勒大学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英属哥伦比亚大学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32"/>
                <w:szCs w:val="32"/>
              </w:rPr>
              <w:t>明尼苏达大学-双城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昆士兰大学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伦敦国王学院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3"/>
                <w:sz w:val="24"/>
                <w:szCs w:val="24"/>
              </w:rPr>
              <w:t>伊利诺伊大学厄巴纳-香槟分校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</w:rPr>
              <w:t>马里兰大学-大学城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24"/>
                <w:szCs w:val="24"/>
              </w:rPr>
              <w:t>科罗拉多大学-博尔德分校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34"/>
                <w:sz w:val="28"/>
                <w:szCs w:val="28"/>
              </w:rPr>
              <w:t>德克萨斯大学西南医学中心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南加州大学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乌得勒支大学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慕尼黑工业大学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34"/>
                <w:sz w:val="32"/>
                <w:szCs w:val="32"/>
              </w:rPr>
              <w:t>加州大学-圣塔芭芭拉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慕尼黑大学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苏黎世大学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悉尼大学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加州大学-欧文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日内瓦大学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新南威尔士大学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范德堡大学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格罗宁根大学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奥斯陆大学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奥胡斯大学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海德堡大学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新加坡国立大学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24"/>
                <w:szCs w:val="24"/>
              </w:rPr>
              <w:t>德克萨斯大学安德森肿瘤中心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麦吉尔大学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根特大学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莫纳什大学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波恩大学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3"/>
                <w:sz w:val="32"/>
                <w:szCs w:val="32"/>
              </w:rPr>
              <w:t>耶路撒冷希伯来大学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巴黎西岱大学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澳大利亚国立大学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布里斯托尔大学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匹兹堡大学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32"/>
                <w:szCs w:val="32"/>
              </w:rPr>
              <w:t>普渡大学-西拉法叶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以色列理工学院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巴塞尔大学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32"/>
                <w:szCs w:val="32"/>
              </w:rPr>
              <w:t>魏茨曼科学研究学院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伊拉兹马斯大学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南洋理工大学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乌普萨拉大学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麦克马斯特大学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斯德哥尔摩大学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阿尔伯塔大学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赫尔辛基大学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佛罗里达大学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32"/>
                <w:szCs w:val="32"/>
              </w:rPr>
              <w:t>鲁汶大学（佛兰德语）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香港大学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首尔国立大学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布朗大学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西澳大利亚大学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艾克斯-马赛大学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亚利桑那州立大学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波士顿大学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卡内基梅隆大学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凯斯西储大学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埃莫里大学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西奈山医学院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印第安纳大学-布鲁明顿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阿卜杜勒阿齐兹国王大学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沙特国王大学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莱顿大学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伦敦政治经济学院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vertAlign w:val="baseline"/>
                <w:lang w:val="en-US" w:eastAsia="zh-CN" w:bidi="ar-SA"/>
              </w:rPr>
              <w:t>梅奥诊所阿利克斯医学院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莫斯科国立大学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名古屋大学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挪威科学技术大学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奈梅亨大学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莱斯大学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  <w:t>罗格斯大学新布朗斯维克分校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罗马第一大学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洛桑联邦理工学院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香港中文大学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俄亥俄州立大学-哥伦布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宾夕法尼亚州立大学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阿德雷德大学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格拉斯哥大学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谢菲尔德大学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格勒诺布尔大学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布鲁塞尔自由大学（法语）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阿姆斯特丹大学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亚利桑那大学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伯尔尼大学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伯明翰大学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加州大学-戴维斯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埃克塞特大学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弗莱堡大学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哥德堡大学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洛桑大学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利物浦大学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蒙特利尔大学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诺丁汉大学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圣保罗大学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斯特拉斯堡大学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犹他大学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华威大学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贝勒医学院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卡迪夫大学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香港城市大学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代尔夫特理工大学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佐治亚理工学院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法兰克福大学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  <w:t>伦敦大学卫生和热带医学学院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隆德大学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密歇根州立大学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大阪大学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丹麦技术大学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特拉维夫大学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德州农工大学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香港理工大学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卡尔加里大学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东北大学（仙台）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东京工业大学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都柏林三一学院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塔夫茨大学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巴塞罗那大学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加州大学-圣克鲁兹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科隆大学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哥廷根大学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利兹大学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马萨诸塞大学-阿默斯特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米兰大学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蒙彼利埃大学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帕多瓦大学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比萨大学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罗切斯特大学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南安普敦大学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苏赛克斯大学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图宾根大学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维也纳大学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滑铁卢大学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阿姆斯特丹自由大学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瓦格宁根大学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0" w:firstLineChars="200"/>
        <w:jc w:val="both"/>
        <w:textAlignment w:val="auto"/>
        <w:rPr>
          <w:color w:val="auto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注：海外毕业生须为世界排名前200名院校</w:t>
      </w: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highlight w:val="none"/>
          <w:lang w:val="en-US" w:eastAsia="zh-CN"/>
        </w:rPr>
        <w:t>[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世界排名前200名中，中国高校30所（含中国香港4所）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highlight w:val="none"/>
          <w:lang w:val="en-US" w:eastAsia="zh-CN"/>
        </w:rPr>
        <w:t>]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，参照英国泰晤士报高等教育副刊(Times Higher Education)、QS世界大学排名(Quacquarelli Symonds World University Rankings)、上海软科世界大学学术排名(Shanghai Ranking’s Academic Ranking of World Universities)发布的排名进行认定。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200"/>
        <w:jc w:val="both"/>
        <w:textAlignment w:val="auto"/>
        <w:rPr>
          <w:color w:val="auto"/>
        </w:rPr>
      </w:pPr>
    </w:p>
    <w:p>
      <w:pPr>
        <w:pStyle w:val="2"/>
        <w:rPr>
          <w:color w:val="auto"/>
        </w:rPr>
      </w:pPr>
    </w:p>
    <w:p>
      <w:pPr>
        <w:pStyle w:val="2"/>
        <w:rPr>
          <w:color w:val="auto"/>
        </w:rPr>
      </w:pPr>
    </w:p>
    <w:p>
      <w:pPr>
        <w:pStyle w:val="2"/>
        <w:rPr>
          <w:color w:val="auto"/>
        </w:rPr>
      </w:pPr>
    </w:p>
    <w:p>
      <w:pPr>
        <w:pStyle w:val="2"/>
        <w:rPr>
          <w:color w:val="auto"/>
        </w:rPr>
      </w:pPr>
    </w:p>
    <w:p>
      <w:pPr>
        <w:pStyle w:val="2"/>
        <w:rPr>
          <w:color w:val="auto"/>
        </w:rPr>
      </w:pPr>
    </w:p>
    <w:p>
      <w:pPr>
        <w:pStyle w:val="2"/>
        <w:rPr>
          <w:color w:val="auto"/>
        </w:rPr>
      </w:pPr>
    </w:p>
    <w:p>
      <w:pPr>
        <w:pStyle w:val="2"/>
        <w:rPr>
          <w:color w:val="auto"/>
        </w:rPr>
      </w:pPr>
    </w:p>
    <w:p>
      <w:pPr>
        <w:pStyle w:val="2"/>
        <w:rPr>
          <w:color w:val="auto"/>
        </w:rPr>
      </w:pPr>
    </w:p>
    <w:p>
      <w:pPr>
        <w:pStyle w:val="2"/>
        <w:rPr>
          <w:color w:val="auto"/>
        </w:rPr>
      </w:pPr>
    </w:p>
    <w:p>
      <w:pPr>
        <w:pStyle w:val="2"/>
        <w:rPr>
          <w:color w:val="auto"/>
        </w:rPr>
      </w:pPr>
    </w:p>
    <w:p>
      <w:pPr>
        <w:pStyle w:val="2"/>
        <w:rPr>
          <w:color w:val="auto"/>
        </w:rPr>
      </w:pPr>
    </w:p>
    <w:p>
      <w:pPr>
        <w:pStyle w:val="2"/>
        <w:rPr>
          <w:color w:val="auto"/>
        </w:rPr>
      </w:pPr>
    </w:p>
    <w:p>
      <w:pPr>
        <w:pStyle w:val="2"/>
        <w:rPr>
          <w:color w:val="auto"/>
        </w:rPr>
      </w:pPr>
    </w:p>
    <w:p>
      <w:pPr>
        <w:pStyle w:val="2"/>
        <w:rPr>
          <w:color w:val="auto"/>
        </w:rPr>
      </w:pPr>
    </w:p>
    <w:p>
      <w:pPr>
        <w:pStyle w:val="2"/>
        <w:rPr>
          <w:color w:val="auto"/>
        </w:rPr>
      </w:pPr>
    </w:p>
    <w:p>
      <w:pPr>
        <w:pStyle w:val="2"/>
        <w:rPr>
          <w:color w:val="auto"/>
        </w:rPr>
      </w:pPr>
    </w:p>
    <w:p>
      <w:pPr>
        <w:pStyle w:val="2"/>
        <w:rPr>
          <w:color w:val="auto"/>
        </w:rPr>
      </w:pPr>
    </w:p>
    <w:p>
      <w:pPr>
        <w:pStyle w:val="2"/>
        <w:rPr>
          <w:color w:val="auto"/>
        </w:rPr>
      </w:pPr>
    </w:p>
    <w:p>
      <w:pPr>
        <w:pStyle w:val="2"/>
        <w:rPr>
          <w:color w:val="auto"/>
        </w:rPr>
      </w:pPr>
    </w:p>
    <w:p>
      <w:pPr>
        <w:pStyle w:val="2"/>
        <w:ind w:left="0" w:leftChars="0" w:firstLine="0" w:firstLineChars="0"/>
        <w:rPr>
          <w:color w:val="auto"/>
        </w:rPr>
      </w:pPr>
    </w:p>
    <w:sectPr>
      <w:footerReference r:id="rId3" w:type="default"/>
      <w:pgSz w:w="11906" w:h="16838"/>
      <w:pgMar w:top="2098" w:right="1531" w:bottom="1984" w:left="1531" w:header="851" w:footer="1587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3ZDBkMzQwNjY3MjVmMjRjMTU3OTc3NTdkZmEzN2QifQ=="/>
  </w:docVars>
  <w:rsids>
    <w:rsidRoot w:val="1AF2716B"/>
    <w:rsid w:val="057B176B"/>
    <w:rsid w:val="09561AC7"/>
    <w:rsid w:val="0A273165"/>
    <w:rsid w:val="0F380CD4"/>
    <w:rsid w:val="0FC7239A"/>
    <w:rsid w:val="12B409FA"/>
    <w:rsid w:val="14166A64"/>
    <w:rsid w:val="142C6533"/>
    <w:rsid w:val="1655071B"/>
    <w:rsid w:val="16FA2823"/>
    <w:rsid w:val="17912844"/>
    <w:rsid w:val="17A4244A"/>
    <w:rsid w:val="17E4138C"/>
    <w:rsid w:val="185F6AB8"/>
    <w:rsid w:val="1AAC5175"/>
    <w:rsid w:val="1AF2716B"/>
    <w:rsid w:val="1CF964EA"/>
    <w:rsid w:val="24BB1EDB"/>
    <w:rsid w:val="24D6035C"/>
    <w:rsid w:val="277AE071"/>
    <w:rsid w:val="2A087F96"/>
    <w:rsid w:val="2AD066C7"/>
    <w:rsid w:val="2BC94547"/>
    <w:rsid w:val="2CF64E05"/>
    <w:rsid w:val="2D7264DA"/>
    <w:rsid w:val="2EFB2573"/>
    <w:rsid w:val="30FA0F06"/>
    <w:rsid w:val="356717CC"/>
    <w:rsid w:val="3A870319"/>
    <w:rsid w:val="3AAA7B94"/>
    <w:rsid w:val="3B5267A8"/>
    <w:rsid w:val="3E921340"/>
    <w:rsid w:val="40F842DB"/>
    <w:rsid w:val="42627514"/>
    <w:rsid w:val="4493491A"/>
    <w:rsid w:val="45D330B6"/>
    <w:rsid w:val="494B34E2"/>
    <w:rsid w:val="4F230472"/>
    <w:rsid w:val="531243A6"/>
    <w:rsid w:val="53FA4634"/>
    <w:rsid w:val="542F7BBE"/>
    <w:rsid w:val="551B39E5"/>
    <w:rsid w:val="553C3F31"/>
    <w:rsid w:val="560A0B08"/>
    <w:rsid w:val="59205E5E"/>
    <w:rsid w:val="59EE04D5"/>
    <w:rsid w:val="5B113820"/>
    <w:rsid w:val="5E46190D"/>
    <w:rsid w:val="61FA4AB4"/>
    <w:rsid w:val="65086418"/>
    <w:rsid w:val="6568239B"/>
    <w:rsid w:val="668E73C0"/>
    <w:rsid w:val="6701288B"/>
    <w:rsid w:val="6811769D"/>
    <w:rsid w:val="69195CB2"/>
    <w:rsid w:val="6A401533"/>
    <w:rsid w:val="6DB65196"/>
    <w:rsid w:val="6DF7AC49"/>
    <w:rsid w:val="6EA31007"/>
    <w:rsid w:val="6F9F50F9"/>
    <w:rsid w:val="74BD6835"/>
    <w:rsid w:val="7586342E"/>
    <w:rsid w:val="775F06F4"/>
    <w:rsid w:val="79CA245D"/>
    <w:rsid w:val="7B140217"/>
    <w:rsid w:val="7BD05422"/>
    <w:rsid w:val="ADFA0A16"/>
    <w:rsid w:val="DD76FE34"/>
    <w:rsid w:val="FCFD8E09"/>
    <w:rsid w:val="FDF3D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qFormat="1" w:unhideWhenUsed="0" w:uiPriority="99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qFormat/>
    <w:uiPriority w:val="99"/>
    <w:pPr>
      <w:spacing w:line="357" w:lineRule="atLeast"/>
      <w:ind w:left="0" w:firstLine="420"/>
      <w:textAlignment w:val="baseline"/>
    </w:pPr>
    <w:rPr>
      <w:rFonts w:ascii="仿宋_GB2312" w:hAnsi="Times New Roman" w:cs="仿宋_GB2312"/>
      <w:kern w:val="2"/>
    </w:rPr>
  </w:style>
  <w:style w:type="paragraph" w:styleId="3">
    <w:name w:val="Body Text Indent"/>
    <w:basedOn w:val="1"/>
    <w:next w:val="4"/>
    <w:autoRedefine/>
    <w:qFormat/>
    <w:uiPriority w:val="99"/>
    <w:pPr>
      <w:spacing w:after="120"/>
      <w:ind w:left="420" w:leftChars="200"/>
    </w:pPr>
  </w:style>
  <w:style w:type="paragraph" w:styleId="4">
    <w:name w:val="Body Text Indent 2"/>
    <w:basedOn w:val="1"/>
    <w:next w:val="5"/>
    <w:autoRedefine/>
    <w:qFormat/>
    <w:uiPriority w:val="99"/>
    <w:pPr>
      <w:ind w:firstLine="630"/>
    </w:pPr>
    <w:rPr>
      <w:rFonts w:ascii="Times New Roman" w:hAnsi="Times New Roman" w:eastAsia="宋体" w:cs="Times New Roman"/>
      <w:b/>
      <w:bCs/>
    </w:rPr>
  </w:style>
  <w:style w:type="paragraph" w:styleId="5">
    <w:name w:val="Body Text Indent 3"/>
    <w:autoRedefine/>
    <w:qFormat/>
    <w:uiPriority w:val="99"/>
    <w:pPr>
      <w:widowControl w:val="0"/>
      <w:ind w:left="200" w:leftChars="200"/>
      <w:jc w:val="both"/>
    </w:pPr>
    <w:rPr>
      <w:rFonts w:ascii="Calibri" w:hAnsi="Calibri" w:eastAsia="宋体" w:cs="Times New Roman"/>
      <w:kern w:val="2"/>
      <w:sz w:val="16"/>
      <w:szCs w:val="24"/>
      <w:lang w:val="en-US" w:eastAsia="zh-CN" w:bidi="ar-SA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2200</Words>
  <Characters>2311</Characters>
  <Lines>0</Lines>
  <Paragraphs>0</Paragraphs>
  <TotalTime>1</TotalTime>
  <ScaleCrop>false</ScaleCrop>
  <LinksUpToDate>false</LinksUpToDate>
  <CharactersWithSpaces>2323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2022-08-30T20:57:00Z</dcterms:created>
  <dc:creator>Administrator</dc:creator>
  <cp:lastModifiedBy>(^_-)泥鳅也是鱼</cp:lastModifiedBy>
  <cp:lastPrinted>2023-03-30T01:27:00Z</cp:lastPrinted>
  <dcterms:modified xsi:type="dcterms:W3CDTF">2024-03-04T07:15:30Z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CE29062058C34D2A81852BCCBB69BC66</vt:lpwstr>
  </property>
</Properties>
</file>