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969" w:tblpY="128"/>
        <w:tblOverlap w:val="never"/>
        <w:tblW w:w="149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949"/>
        <w:gridCol w:w="1153"/>
        <w:gridCol w:w="932"/>
        <w:gridCol w:w="1130"/>
        <w:gridCol w:w="908"/>
        <w:gridCol w:w="1045"/>
        <w:gridCol w:w="3016"/>
        <w:gridCol w:w="2153"/>
        <w:gridCol w:w="20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6" w:hRule="atLeast"/>
          <w:jc w:val="center"/>
        </w:trPr>
        <w:tc>
          <w:tcPr>
            <w:tcW w:w="14946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附件1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lang w:val="en-US" w:eastAsia="zh-CN" w:bidi="ar"/>
              </w:rPr>
              <w:t>贵州省网络信息安全技术维护管理中心2023年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公开招聘工作人员岗位及要求一览表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1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</w:p>
        </w:tc>
        <w:tc>
          <w:tcPr>
            <w:tcW w:w="5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0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0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贵州省网络信息安全技术维护管理中心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技术保障科工作人员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专业技术人员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电子信息工程、通信工程、光电信息科学与工程、电信工程及管理、通信与信息工程、光电信息工程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通信工程、信息与通信工程、通信与信息工程、信号与信息处理、电子与通信工程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lY2RmZGY2MTdjYTc1Y2ZmODk4NDBjZTYxNTRjYjkifQ=="/>
  </w:docVars>
  <w:rsids>
    <w:rsidRoot w:val="238949ED"/>
    <w:rsid w:val="2389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表接续 21"/>
    <w:basedOn w:val="1"/>
    <w:qFormat/>
    <w:uiPriority w:val="0"/>
    <w:pPr>
      <w:spacing w:after="120"/>
      <w:ind w:left="840" w:leftChars="4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uiPriority w:val="0"/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2023-03-27T11:38:00Z</dcterms:created>
  <dc:creator>RongHAZ</dc:creator>
  <cp:lastModifiedBy>梁丹</cp:lastModifiedBy>
  <dcterms:modified xsi:type="dcterms:W3CDTF">2023-03-27T11:39:53Z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24336AA388814689B3BBF45E3CFD52F2</vt:lpwstr>
  </property>
</Properties>
</file>