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rPr>
          <w:rStyle w:val="9"/>
          <w:rFonts w:cs="宋体" w:asciiTheme="majorEastAsia" w:hAnsiTheme="majorEastAsia" w:eastAsiaTheme="majorEastAsia"/>
          <w:b w:val="0"/>
          <w:bCs w:val="0"/>
          <w:sz w:val="32"/>
          <w:szCs w:val="32"/>
        </w:rPr>
      </w:pPr>
      <w:r>
        <w:rPr>
          <w:rStyle w:val="9"/>
          <w:rFonts w:hint="eastAsia" w:ascii="黑体" w:hAnsi="黑体" w:eastAsia="黑体" w:cs="黑体"/>
          <w:b w:val="0"/>
          <w:bCs w:val="0"/>
          <w:color w:val="000000"/>
          <w:sz w:val="32"/>
          <w:szCs w:val="32"/>
        </w:rPr>
        <w:t>附件1：</w:t>
      </w:r>
    </w:p>
    <w:tbl>
      <w:tblPr>
        <w:tblStyle w:val="7"/>
        <w:tblpPr w:leftFromText="180" w:rightFromText="180" w:vertAnchor="text" w:horzAnchor="page" w:tblpX="2317" w:tblpY="996"/>
        <w:tblOverlap w:val="never"/>
        <w:tblW w:w="7755" w:type="dxa"/>
        <w:tblInd w:w="0" w:type="dxa"/>
        <w:tblLayout w:type="fixed"/>
        <w:tblCellMar>
          <w:top w:w="0" w:type="dxa"/>
          <w:left w:w="0" w:type="dxa"/>
          <w:bottom w:w="0" w:type="dxa"/>
          <w:right w:w="0" w:type="dxa"/>
        </w:tblCellMar>
      </w:tblPr>
      <w:tblGrid>
        <w:gridCol w:w="1530"/>
        <w:gridCol w:w="1395"/>
        <w:gridCol w:w="1185"/>
        <w:gridCol w:w="1395"/>
        <w:gridCol w:w="2250"/>
      </w:tblGrid>
      <w:tr>
        <w:tblPrEx>
          <w:tblCellMar>
            <w:top w:w="0" w:type="dxa"/>
            <w:left w:w="0" w:type="dxa"/>
            <w:bottom w:w="0" w:type="dxa"/>
            <w:right w:w="0" w:type="dxa"/>
          </w:tblCellMar>
        </w:tblPrEx>
        <w:trPr>
          <w:trHeight w:val="722"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岗位</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招聘人数</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专 业</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ind w:firstLine="480" w:firstLineChars="200"/>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学历</w:t>
            </w:r>
          </w:p>
        </w:tc>
        <w:tc>
          <w:tcPr>
            <w:tcW w:w="225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具备条件</w:t>
            </w:r>
          </w:p>
        </w:tc>
      </w:tr>
      <w:tr>
        <w:tblPrEx>
          <w:tblCellMar>
            <w:top w:w="0" w:type="dxa"/>
            <w:left w:w="0" w:type="dxa"/>
            <w:bottom w:w="0" w:type="dxa"/>
            <w:right w:w="0" w:type="dxa"/>
          </w:tblCellMar>
        </w:tblPrEx>
        <w:trPr>
          <w:trHeight w:val="682"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儿科医生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185" w:type="dxa"/>
            <w:vMerge w:val="restart"/>
            <w:tcBorders>
              <w:top w:val="single" w:color="auto" w:sz="4" w:space="0"/>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临床医学</w:t>
            </w:r>
          </w:p>
        </w:tc>
        <w:tc>
          <w:tcPr>
            <w:tcW w:w="1395" w:type="dxa"/>
            <w:vMerge w:val="restart"/>
            <w:tcBorders>
              <w:top w:val="single" w:color="auto" w:sz="4" w:space="0"/>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全日制大专及以上学历</w:t>
            </w:r>
          </w:p>
          <w:p>
            <w:pPr>
              <w:pStyle w:val="6"/>
              <w:spacing w:before="0" w:beforeAutospacing="0" w:after="0" w:afterAutospacing="0" w:line="400" w:lineRule="exact"/>
              <w:jc w:val="both"/>
              <w:rPr>
                <w:rFonts w:hint="default" w:ascii="仿宋_GB2312" w:hAnsi="仿宋_GB2312" w:eastAsia="仿宋_GB2312" w:cs="仿宋_GB2312"/>
                <w:color w:val="000000"/>
                <w:sz w:val="24"/>
                <w:szCs w:val="24"/>
                <w:lang w:val="en-US" w:eastAsia="zh-CN"/>
              </w:rPr>
            </w:pPr>
          </w:p>
        </w:tc>
        <w:tc>
          <w:tcPr>
            <w:tcW w:w="2250" w:type="dxa"/>
            <w:vMerge w:val="restart"/>
            <w:tcBorders>
              <w:top w:val="single" w:color="auto" w:sz="4" w:space="0"/>
              <w:left w:val="single" w:color="auto" w:sz="4" w:space="0"/>
              <w:right w:val="single" w:color="auto" w:sz="4" w:space="0"/>
            </w:tcBorders>
            <w:tcMar>
              <w:left w:w="105" w:type="dxa"/>
              <w:right w:w="105" w:type="dxa"/>
            </w:tcMar>
            <w:vAlign w:val="center"/>
          </w:tcPr>
          <w:p>
            <w:pPr>
              <w:keepNext w:val="0"/>
              <w:keepLines w:val="0"/>
              <w:pageBreakBefore w:val="0"/>
              <w:widowControl/>
              <w:numPr>
                <w:ilvl w:val="0"/>
                <w:numId w:val="1"/>
              </w:numPr>
              <w:kinsoku/>
              <w:wordWrap/>
              <w:overflowPunct/>
              <w:topLinePunct w:val="0"/>
              <w:autoSpaceDE/>
              <w:autoSpaceDN/>
              <w:bidi w:val="0"/>
              <w:adjustRightInd/>
              <w:snapToGrid/>
              <w:spacing w:after="0" w:line="22" w:lineRule="atLeast"/>
              <w:jc w:val="both"/>
              <w:textAlignment w:val="auto"/>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全日制本科及以上学历、学位，2016年以前毕业的需具备执业医师资格，2016年以后毕业的需同时具备执业医师资格和住院医师规范化培训合格证。</w:t>
            </w:r>
          </w:p>
          <w:p>
            <w:pPr>
              <w:keepNext w:val="0"/>
              <w:keepLines w:val="0"/>
              <w:pageBreakBefore w:val="0"/>
              <w:widowControl/>
              <w:numPr>
                <w:ilvl w:val="0"/>
                <w:numId w:val="1"/>
              </w:numPr>
              <w:kinsoku/>
              <w:wordWrap/>
              <w:overflowPunct/>
              <w:topLinePunct w:val="0"/>
              <w:autoSpaceDE/>
              <w:autoSpaceDN/>
              <w:bidi w:val="0"/>
              <w:adjustRightInd/>
              <w:snapToGrid/>
              <w:spacing w:after="0" w:line="22" w:lineRule="atLeast"/>
              <w:jc w:val="both"/>
              <w:textAlignment w:val="auto"/>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全日制大专学历需同时具备执业医师资格和助理医师规范化培训合格证。</w:t>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2" w:lineRule="atLeast"/>
              <w:jc w:val="left"/>
              <w:textAlignment w:val="auto"/>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8"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新生儿科医生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ind w:firstLine="240" w:firstLineChars="100"/>
              <w:jc w:val="left"/>
              <w:rPr>
                <w:rFonts w:hint="default"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神经外科医生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B超医生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805"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血液透析科医生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急诊科医生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口腔科医生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口腔医学</w:t>
            </w:r>
          </w:p>
        </w:tc>
        <w:tc>
          <w:tcPr>
            <w:tcW w:w="1395" w:type="dxa"/>
            <w:vMerge w:val="continue"/>
            <w:tcBorders>
              <w:left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麻醉科医生</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麻醉学</w:t>
            </w:r>
          </w:p>
        </w:tc>
        <w:tc>
          <w:tcPr>
            <w:tcW w:w="1395"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p>
        </w:tc>
        <w:tc>
          <w:tcPr>
            <w:tcW w:w="2250" w:type="dxa"/>
            <w:vMerge w:val="continue"/>
            <w:tcBorders>
              <w:left w:val="single" w:color="auto" w:sz="4" w:space="0"/>
              <w:bottom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kern w:val="2"/>
                <w:sz w:val="24"/>
                <w:szCs w:val="24"/>
                <w:lang w:val="en-US" w:eastAsia="zh-CN"/>
              </w:rPr>
            </w:pPr>
          </w:p>
        </w:tc>
      </w:tr>
      <w:tr>
        <w:tblPrEx>
          <w:tblCellMar>
            <w:top w:w="0" w:type="dxa"/>
            <w:left w:w="0" w:type="dxa"/>
            <w:bottom w:w="0" w:type="dxa"/>
            <w:right w:w="0" w:type="dxa"/>
          </w:tblCellMar>
        </w:tblPrEx>
        <w:trPr>
          <w:trHeight w:val="794" w:hRule="atLeast"/>
        </w:trPr>
        <w:tc>
          <w:tcPr>
            <w:tcW w:w="153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wordWrap w:val="0"/>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临床护士</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118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护理学</w:t>
            </w:r>
          </w:p>
        </w:tc>
        <w:tc>
          <w:tcPr>
            <w:tcW w:w="1395"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全日制大专及以上学历</w:t>
            </w:r>
          </w:p>
          <w:p>
            <w:pPr>
              <w:pStyle w:val="6"/>
              <w:spacing w:before="0" w:beforeAutospacing="0" w:after="0" w:afterAutospacing="0" w:line="400" w:lineRule="exact"/>
              <w:jc w:val="left"/>
              <w:rPr>
                <w:rFonts w:hint="default" w:ascii="仿宋_GB2312" w:hAnsi="仿宋_GB2312" w:eastAsia="仿宋_GB2312" w:cs="仿宋_GB2312"/>
                <w:color w:val="000000"/>
                <w:sz w:val="24"/>
                <w:szCs w:val="24"/>
                <w:lang w:val="en-US" w:eastAsia="zh-CN"/>
              </w:rPr>
            </w:pPr>
          </w:p>
        </w:tc>
        <w:tc>
          <w:tcPr>
            <w:tcW w:w="2250" w:type="dxa"/>
            <w:tcBorders>
              <w:top w:val="single" w:color="auto" w:sz="4" w:space="0"/>
              <w:left w:val="single" w:color="auto" w:sz="4" w:space="0"/>
              <w:bottom w:val="single" w:color="auto" w:sz="4" w:space="0"/>
              <w:right w:val="single" w:color="auto" w:sz="4" w:space="0"/>
            </w:tcBorders>
            <w:tcMar>
              <w:left w:w="105" w:type="dxa"/>
              <w:right w:w="105" w:type="dxa"/>
            </w:tcMar>
            <w:vAlign w:val="center"/>
          </w:tcPr>
          <w:p>
            <w:pPr>
              <w:pStyle w:val="6"/>
              <w:numPr>
                <w:ilvl w:val="0"/>
                <w:numId w:val="0"/>
              </w:numPr>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kern w:val="2"/>
                <w:sz w:val="24"/>
                <w:szCs w:val="24"/>
                <w:lang w:val="en-US" w:eastAsia="zh-CN"/>
              </w:rPr>
              <w:t>1.</w:t>
            </w:r>
            <w:r>
              <w:rPr>
                <w:rFonts w:hint="eastAsia" w:ascii="仿宋_GB2312" w:hAnsi="仿宋_GB2312" w:eastAsia="仿宋_GB2312" w:cs="仿宋_GB2312"/>
                <w:color w:val="000000"/>
                <w:sz w:val="24"/>
                <w:szCs w:val="24"/>
                <w:lang w:val="en-US" w:eastAsia="zh-CN" w:bidi="ar-SA"/>
              </w:rPr>
              <w:t>需具备护士执业证，大专学历要求有一年及以上二级医院临床护理工作经验；</w:t>
            </w:r>
          </w:p>
          <w:p>
            <w:pPr>
              <w:pStyle w:val="6"/>
              <w:numPr>
                <w:ilvl w:val="0"/>
                <w:numId w:val="0"/>
              </w:numPr>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2.有护师资格加1分，主管护师资格加2分；</w:t>
            </w:r>
          </w:p>
          <w:p>
            <w:pPr>
              <w:pStyle w:val="6"/>
              <w:numPr>
                <w:ilvl w:val="0"/>
                <w:numId w:val="0"/>
              </w:numPr>
              <w:spacing w:before="0" w:beforeAutospacing="0" w:after="0" w:afterAutospacing="0" w:line="400" w:lineRule="exact"/>
              <w:jc w:val="left"/>
              <w:rPr>
                <w:rFonts w:hint="eastAsia"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3.有专科护士培训合格证加2分；</w:t>
            </w:r>
          </w:p>
          <w:p>
            <w:pPr>
              <w:pStyle w:val="6"/>
              <w:numPr>
                <w:ilvl w:val="0"/>
                <w:numId w:val="0"/>
              </w:numPr>
              <w:spacing w:before="0" w:beforeAutospacing="0" w:after="0" w:afterAutospacing="0" w:line="400" w:lineRule="exact"/>
              <w:jc w:val="left"/>
              <w:rPr>
                <w:rFonts w:hint="default" w:ascii="仿宋_GB2312" w:hAnsi="仿宋_GB2312" w:eastAsia="仿宋_GB2312" w:cs="仿宋_GB2312"/>
                <w:color w:val="000000"/>
                <w:sz w:val="24"/>
                <w:szCs w:val="24"/>
                <w:lang w:val="en-US" w:eastAsia="zh-CN" w:bidi="ar-SA"/>
              </w:rPr>
            </w:pPr>
            <w:r>
              <w:rPr>
                <w:rFonts w:hint="eastAsia" w:ascii="仿宋_GB2312" w:hAnsi="仿宋_GB2312" w:eastAsia="仿宋_GB2312" w:cs="仿宋_GB2312"/>
                <w:color w:val="000000"/>
                <w:sz w:val="24"/>
                <w:szCs w:val="24"/>
                <w:lang w:val="en-US" w:eastAsia="zh-CN" w:bidi="ar-SA"/>
              </w:rPr>
              <w:t>4.加分最高不超过4分。</w:t>
            </w:r>
          </w:p>
        </w:tc>
      </w:tr>
    </w:tbl>
    <w:p>
      <w:pPr>
        <w:pStyle w:val="6"/>
        <w:spacing w:before="0" w:beforeAutospacing="0" w:after="150" w:afterAutospacing="0"/>
        <w:jc w:val="both"/>
        <w:rPr>
          <w:rFonts w:ascii="黑体" w:hAnsi="黑体" w:eastAsia="黑体" w:cs="黑体"/>
          <w:spacing w:val="-1"/>
          <w:sz w:val="32"/>
          <w:szCs w:val="32"/>
        </w:rPr>
      </w:pPr>
      <w:r>
        <w:rPr>
          <w:rFonts w:hint="eastAsia" w:ascii="宋体" w:hAnsi="宋体" w:eastAsia="宋体" w:cs="宋体"/>
          <w:b/>
          <w:bCs/>
          <w:color w:val="000000"/>
          <w:spacing w:val="10"/>
          <w:sz w:val="30"/>
          <w:szCs w:val="30"/>
        </w:rPr>
        <w:t>江口县人民医院202</w:t>
      </w:r>
      <w:r>
        <w:rPr>
          <w:rFonts w:hint="eastAsia" w:cs="宋体"/>
          <w:b/>
          <w:bCs/>
          <w:color w:val="000000"/>
          <w:spacing w:val="10"/>
          <w:sz w:val="30"/>
          <w:szCs w:val="30"/>
          <w:lang w:val="en-US" w:eastAsia="zh-CN"/>
        </w:rPr>
        <w:t>3</w:t>
      </w:r>
      <w:r>
        <w:rPr>
          <w:rFonts w:hint="eastAsia" w:ascii="宋体" w:hAnsi="宋体" w:eastAsia="宋体" w:cs="宋体"/>
          <w:b/>
          <w:bCs/>
          <w:color w:val="000000"/>
          <w:spacing w:val="10"/>
          <w:sz w:val="30"/>
          <w:szCs w:val="30"/>
        </w:rPr>
        <w:t>年</w:t>
      </w:r>
      <w:r>
        <w:rPr>
          <w:rFonts w:hint="eastAsia" w:cs="宋体"/>
          <w:b/>
          <w:bCs/>
          <w:color w:val="000000"/>
          <w:spacing w:val="10"/>
          <w:sz w:val="30"/>
          <w:szCs w:val="30"/>
          <w:lang w:val="en-US" w:eastAsia="zh-CN"/>
        </w:rPr>
        <w:t>第三次</w:t>
      </w:r>
      <w:r>
        <w:rPr>
          <w:rFonts w:hint="eastAsia" w:ascii="宋体" w:hAnsi="宋体" w:eastAsia="宋体" w:cs="宋体"/>
          <w:b/>
          <w:bCs/>
          <w:color w:val="000000"/>
          <w:spacing w:val="10"/>
          <w:sz w:val="30"/>
          <w:szCs w:val="30"/>
        </w:rPr>
        <w:t>公开招聘编外人员</w:t>
      </w:r>
      <w:r>
        <w:rPr>
          <w:rFonts w:hint="eastAsia" w:cs="宋体"/>
          <w:b/>
          <w:bCs/>
          <w:color w:val="000000"/>
          <w:spacing w:val="10"/>
          <w:sz w:val="30"/>
          <w:szCs w:val="30"/>
          <w:lang w:val="en-US" w:eastAsia="zh-CN"/>
        </w:rPr>
        <w:t>职位</w:t>
      </w:r>
      <w:r>
        <w:rPr>
          <w:rFonts w:hint="eastAsia" w:ascii="宋体" w:hAnsi="宋体" w:eastAsia="宋体" w:cs="宋体"/>
          <w:b/>
          <w:bCs/>
          <w:color w:val="000000"/>
          <w:spacing w:val="10"/>
          <w:sz w:val="30"/>
          <w:szCs w:val="30"/>
        </w:rPr>
        <w:t>一览表</w:t>
      </w:r>
      <w:bookmarkStart w:id="0" w:name="_GoBack"/>
      <w:bookmarkEnd w:id="0"/>
    </w:p>
    <w:sectPr>
      <w:footerReference r:id="rId4" w:type="default"/>
      <w:pgSz w:w="11906" w:h="16838"/>
      <w:pgMar w:top="1440" w:right="1800" w:bottom="1440" w:left="1800" w:header="708" w:footer="708" w:gutter="0"/>
      <w:pgNumType w:fmt="decimal"/>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9E298B-A721-45E4-B4A2-71BCEEFE71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683C4CA-3A7F-43C0-9AA6-5D1C7BEFF85E}"/>
  </w:font>
  <w:font w:name="微软雅黑">
    <w:panose1 w:val="020B0503020204020204"/>
    <w:charset w:val="86"/>
    <w:family w:val="swiss"/>
    <w:pitch w:val="default"/>
    <w:sig w:usb0="80000287" w:usb1="2ACF3C50" w:usb2="00000016" w:usb3="00000000" w:csb0="0004001F" w:csb1="00000000"/>
    <w:embedRegular r:id="rId3" w:fontKey="{42619B51-5940-4B81-B6C7-7D344D353216}"/>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D1AFCC3A-060A-4CAB-883F-8FFF4D514681}"/>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95751501"/>
                </w:sdtPr>
                <w:sdtContent>
                  <w:p>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txbxContent>
          </v:textbox>
        </v:shape>
      </w:pic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A326A"/>
    <w:multiLevelType w:val="singleLevel"/>
    <w:tmpl w:val="5D9A32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compat>
    <w:useFELayout/>
    <w:compatSetting w:name="compatibilityMode" w:uri="http://schemas.microsoft.com/office/word" w:val="12"/>
  </w:compat>
  <w:docVars>
    <w:docVar w:name="commondata" w:val="eyJoZGlkIjoiYWJmNTAxYTA0NTllZTU0OWY5NWY0MWNlMzBjNGU2OTYifQ=="/>
  </w:docVars>
  <w:rsids>
    <w:rsidRoot w:val="00D31D50"/>
    <w:rsid w:val="0004100D"/>
    <w:rsid w:val="000547C4"/>
    <w:rsid w:val="000A7D91"/>
    <w:rsid w:val="000C65A9"/>
    <w:rsid w:val="000E2FC0"/>
    <w:rsid w:val="000E49EF"/>
    <w:rsid w:val="000F6DF9"/>
    <w:rsid w:val="001250A9"/>
    <w:rsid w:val="001759A6"/>
    <w:rsid w:val="001929D2"/>
    <w:rsid w:val="001B6607"/>
    <w:rsid w:val="00207C3D"/>
    <w:rsid w:val="00212969"/>
    <w:rsid w:val="00223570"/>
    <w:rsid w:val="00225329"/>
    <w:rsid w:val="00227003"/>
    <w:rsid w:val="00284C92"/>
    <w:rsid w:val="00296953"/>
    <w:rsid w:val="002A750B"/>
    <w:rsid w:val="002C421D"/>
    <w:rsid w:val="002D4B10"/>
    <w:rsid w:val="002F1619"/>
    <w:rsid w:val="002F5F43"/>
    <w:rsid w:val="00302970"/>
    <w:rsid w:val="00303E36"/>
    <w:rsid w:val="00323B43"/>
    <w:rsid w:val="003620E0"/>
    <w:rsid w:val="003D37D8"/>
    <w:rsid w:val="004222C0"/>
    <w:rsid w:val="0042456D"/>
    <w:rsid w:val="004245DA"/>
    <w:rsid w:val="00426133"/>
    <w:rsid w:val="004358AB"/>
    <w:rsid w:val="00444D2F"/>
    <w:rsid w:val="0045304E"/>
    <w:rsid w:val="0049021C"/>
    <w:rsid w:val="004B69BA"/>
    <w:rsid w:val="004D2362"/>
    <w:rsid w:val="005226AF"/>
    <w:rsid w:val="00577954"/>
    <w:rsid w:val="005D41F2"/>
    <w:rsid w:val="00613B5B"/>
    <w:rsid w:val="0063268F"/>
    <w:rsid w:val="00641959"/>
    <w:rsid w:val="0066660F"/>
    <w:rsid w:val="006A5038"/>
    <w:rsid w:val="006F518D"/>
    <w:rsid w:val="00702F8B"/>
    <w:rsid w:val="00705178"/>
    <w:rsid w:val="00714A70"/>
    <w:rsid w:val="00763262"/>
    <w:rsid w:val="007708BC"/>
    <w:rsid w:val="00797ACE"/>
    <w:rsid w:val="007D3D1D"/>
    <w:rsid w:val="007E7F3C"/>
    <w:rsid w:val="007F30E2"/>
    <w:rsid w:val="00851FF8"/>
    <w:rsid w:val="00877A6F"/>
    <w:rsid w:val="008821DE"/>
    <w:rsid w:val="008915CB"/>
    <w:rsid w:val="008A7DE3"/>
    <w:rsid w:val="008B7726"/>
    <w:rsid w:val="008C222E"/>
    <w:rsid w:val="008E750F"/>
    <w:rsid w:val="008F2961"/>
    <w:rsid w:val="00920784"/>
    <w:rsid w:val="0096127B"/>
    <w:rsid w:val="0099786C"/>
    <w:rsid w:val="009A2FB6"/>
    <w:rsid w:val="00A210F8"/>
    <w:rsid w:val="00A251CC"/>
    <w:rsid w:val="00A775CA"/>
    <w:rsid w:val="00A97C45"/>
    <w:rsid w:val="00AD6704"/>
    <w:rsid w:val="00AE54BD"/>
    <w:rsid w:val="00B77C4D"/>
    <w:rsid w:val="00BC3263"/>
    <w:rsid w:val="00BE47BA"/>
    <w:rsid w:val="00C452C6"/>
    <w:rsid w:val="00C47F17"/>
    <w:rsid w:val="00C633C0"/>
    <w:rsid w:val="00C80B82"/>
    <w:rsid w:val="00CB4277"/>
    <w:rsid w:val="00CB6CFE"/>
    <w:rsid w:val="00CE418C"/>
    <w:rsid w:val="00D31D50"/>
    <w:rsid w:val="00D47D6F"/>
    <w:rsid w:val="00D47EE5"/>
    <w:rsid w:val="00DB629A"/>
    <w:rsid w:val="00DB67D6"/>
    <w:rsid w:val="00DD550B"/>
    <w:rsid w:val="00DD76B7"/>
    <w:rsid w:val="00E47312"/>
    <w:rsid w:val="00EA3EFF"/>
    <w:rsid w:val="00EB359C"/>
    <w:rsid w:val="00EC1B67"/>
    <w:rsid w:val="00EC1DB9"/>
    <w:rsid w:val="00EF7D99"/>
    <w:rsid w:val="00F01FDF"/>
    <w:rsid w:val="00F029B2"/>
    <w:rsid w:val="00F12AFB"/>
    <w:rsid w:val="00F15476"/>
    <w:rsid w:val="00F156B7"/>
    <w:rsid w:val="00F2785D"/>
    <w:rsid w:val="00F434B3"/>
    <w:rsid w:val="00F44374"/>
    <w:rsid w:val="00F47BC5"/>
    <w:rsid w:val="00F56207"/>
    <w:rsid w:val="00F83520"/>
    <w:rsid w:val="00F8423A"/>
    <w:rsid w:val="00FB7859"/>
    <w:rsid w:val="00FC1331"/>
    <w:rsid w:val="00FD614E"/>
    <w:rsid w:val="00FF2B3D"/>
    <w:rsid w:val="024F45B3"/>
    <w:rsid w:val="02EF25D4"/>
    <w:rsid w:val="030376E3"/>
    <w:rsid w:val="031D4903"/>
    <w:rsid w:val="0344182A"/>
    <w:rsid w:val="03824AAC"/>
    <w:rsid w:val="04DC433A"/>
    <w:rsid w:val="05D76A72"/>
    <w:rsid w:val="06CF426F"/>
    <w:rsid w:val="083C0864"/>
    <w:rsid w:val="08850B9A"/>
    <w:rsid w:val="097015F2"/>
    <w:rsid w:val="0C594818"/>
    <w:rsid w:val="0C6E3F0B"/>
    <w:rsid w:val="0CAB6F00"/>
    <w:rsid w:val="0CB8153E"/>
    <w:rsid w:val="0CEE2E7D"/>
    <w:rsid w:val="103B0545"/>
    <w:rsid w:val="122F08C2"/>
    <w:rsid w:val="13777D41"/>
    <w:rsid w:val="14255C0F"/>
    <w:rsid w:val="148E3042"/>
    <w:rsid w:val="14977E05"/>
    <w:rsid w:val="14EF7AC7"/>
    <w:rsid w:val="15512530"/>
    <w:rsid w:val="15AF115D"/>
    <w:rsid w:val="160B6DF7"/>
    <w:rsid w:val="16E00133"/>
    <w:rsid w:val="17CA7D99"/>
    <w:rsid w:val="19065761"/>
    <w:rsid w:val="192F0DDA"/>
    <w:rsid w:val="19D96F98"/>
    <w:rsid w:val="1AF35FC0"/>
    <w:rsid w:val="1B651A72"/>
    <w:rsid w:val="1B655EB7"/>
    <w:rsid w:val="1B8520C4"/>
    <w:rsid w:val="1C2B6303"/>
    <w:rsid w:val="1C4921B3"/>
    <w:rsid w:val="1CBD04AB"/>
    <w:rsid w:val="1D097B94"/>
    <w:rsid w:val="1D8F0099"/>
    <w:rsid w:val="1DDE692B"/>
    <w:rsid w:val="1E5A379B"/>
    <w:rsid w:val="1EC630DC"/>
    <w:rsid w:val="1ECC47E7"/>
    <w:rsid w:val="1F16641A"/>
    <w:rsid w:val="1F841754"/>
    <w:rsid w:val="1F922E37"/>
    <w:rsid w:val="1FA15AA8"/>
    <w:rsid w:val="1FF66B73"/>
    <w:rsid w:val="207C350B"/>
    <w:rsid w:val="21B065BE"/>
    <w:rsid w:val="21D83CCE"/>
    <w:rsid w:val="22062302"/>
    <w:rsid w:val="220E535E"/>
    <w:rsid w:val="22102D31"/>
    <w:rsid w:val="229879F0"/>
    <w:rsid w:val="22E43A34"/>
    <w:rsid w:val="231866DC"/>
    <w:rsid w:val="234543AE"/>
    <w:rsid w:val="238E6C91"/>
    <w:rsid w:val="23D435D8"/>
    <w:rsid w:val="23E27B26"/>
    <w:rsid w:val="24C67AB6"/>
    <w:rsid w:val="25600069"/>
    <w:rsid w:val="257A6614"/>
    <w:rsid w:val="28031A69"/>
    <w:rsid w:val="28145528"/>
    <w:rsid w:val="284877C3"/>
    <w:rsid w:val="28DF058C"/>
    <w:rsid w:val="28F416F8"/>
    <w:rsid w:val="2A0822F0"/>
    <w:rsid w:val="2A181D78"/>
    <w:rsid w:val="2AE00A5D"/>
    <w:rsid w:val="2C3B2D3C"/>
    <w:rsid w:val="2D40454F"/>
    <w:rsid w:val="2D6C4214"/>
    <w:rsid w:val="2DE0049D"/>
    <w:rsid w:val="2F550EFF"/>
    <w:rsid w:val="2F943964"/>
    <w:rsid w:val="301D2F9D"/>
    <w:rsid w:val="30543482"/>
    <w:rsid w:val="31562FB5"/>
    <w:rsid w:val="318564F9"/>
    <w:rsid w:val="31DC0F7C"/>
    <w:rsid w:val="33C51FEE"/>
    <w:rsid w:val="341C0944"/>
    <w:rsid w:val="34ED65FC"/>
    <w:rsid w:val="364D2448"/>
    <w:rsid w:val="3A347C1A"/>
    <w:rsid w:val="3B4103C5"/>
    <w:rsid w:val="3B9C3046"/>
    <w:rsid w:val="3CF37B06"/>
    <w:rsid w:val="3DE36065"/>
    <w:rsid w:val="3E676F6D"/>
    <w:rsid w:val="409A2F65"/>
    <w:rsid w:val="412E262F"/>
    <w:rsid w:val="418D2A75"/>
    <w:rsid w:val="41DD00B7"/>
    <w:rsid w:val="41EC66DD"/>
    <w:rsid w:val="42674891"/>
    <w:rsid w:val="43192169"/>
    <w:rsid w:val="43C646CF"/>
    <w:rsid w:val="43F36DD1"/>
    <w:rsid w:val="4604763C"/>
    <w:rsid w:val="460743C1"/>
    <w:rsid w:val="46674E60"/>
    <w:rsid w:val="467F2CCD"/>
    <w:rsid w:val="46A12B59"/>
    <w:rsid w:val="47375667"/>
    <w:rsid w:val="473E1461"/>
    <w:rsid w:val="47E44A4B"/>
    <w:rsid w:val="48040B11"/>
    <w:rsid w:val="486E697A"/>
    <w:rsid w:val="4A5A59BB"/>
    <w:rsid w:val="4AA20B5D"/>
    <w:rsid w:val="4AD478F9"/>
    <w:rsid w:val="4BC72F82"/>
    <w:rsid w:val="4BDC0FB4"/>
    <w:rsid w:val="4CF3744D"/>
    <w:rsid w:val="4D185106"/>
    <w:rsid w:val="4D890BC5"/>
    <w:rsid w:val="4E5C5468"/>
    <w:rsid w:val="4FE7612A"/>
    <w:rsid w:val="505F4DFA"/>
    <w:rsid w:val="510C6F6C"/>
    <w:rsid w:val="52115EC9"/>
    <w:rsid w:val="52682872"/>
    <w:rsid w:val="52F216C4"/>
    <w:rsid w:val="53733096"/>
    <w:rsid w:val="53744DB2"/>
    <w:rsid w:val="53C34B08"/>
    <w:rsid w:val="54674727"/>
    <w:rsid w:val="55200FFC"/>
    <w:rsid w:val="55B1770A"/>
    <w:rsid w:val="55B300C2"/>
    <w:rsid w:val="55C6781D"/>
    <w:rsid w:val="55C95D71"/>
    <w:rsid w:val="55EA5B3A"/>
    <w:rsid w:val="560F0351"/>
    <w:rsid w:val="57AE2CF0"/>
    <w:rsid w:val="58C9019A"/>
    <w:rsid w:val="590A624B"/>
    <w:rsid w:val="592450C0"/>
    <w:rsid w:val="59B305AA"/>
    <w:rsid w:val="59D34DD3"/>
    <w:rsid w:val="5A056A12"/>
    <w:rsid w:val="5B394997"/>
    <w:rsid w:val="5CE62B2B"/>
    <w:rsid w:val="5D2B6790"/>
    <w:rsid w:val="5D8F4CBF"/>
    <w:rsid w:val="5DFD64B9"/>
    <w:rsid w:val="5F230066"/>
    <w:rsid w:val="5FC209CF"/>
    <w:rsid w:val="60D26E94"/>
    <w:rsid w:val="614F5417"/>
    <w:rsid w:val="63365E8E"/>
    <w:rsid w:val="63BF58BD"/>
    <w:rsid w:val="63EB6C79"/>
    <w:rsid w:val="642621F6"/>
    <w:rsid w:val="64485941"/>
    <w:rsid w:val="64664551"/>
    <w:rsid w:val="64EA6F30"/>
    <w:rsid w:val="66371C5A"/>
    <w:rsid w:val="678418BE"/>
    <w:rsid w:val="681471F5"/>
    <w:rsid w:val="68AF041C"/>
    <w:rsid w:val="68DD4940"/>
    <w:rsid w:val="69020CEC"/>
    <w:rsid w:val="69921DDA"/>
    <w:rsid w:val="69F95F01"/>
    <w:rsid w:val="6BD6020E"/>
    <w:rsid w:val="6C9360FF"/>
    <w:rsid w:val="6CCC3ECD"/>
    <w:rsid w:val="6CE53683"/>
    <w:rsid w:val="6D5533B5"/>
    <w:rsid w:val="6D687357"/>
    <w:rsid w:val="6E3B49F1"/>
    <w:rsid w:val="6E6C4E5A"/>
    <w:rsid w:val="70D84906"/>
    <w:rsid w:val="711E340C"/>
    <w:rsid w:val="71226089"/>
    <w:rsid w:val="72897D89"/>
    <w:rsid w:val="731761CB"/>
    <w:rsid w:val="73700F48"/>
    <w:rsid w:val="73D700C1"/>
    <w:rsid w:val="73E67DE5"/>
    <w:rsid w:val="740E6504"/>
    <w:rsid w:val="748A0219"/>
    <w:rsid w:val="74A7099A"/>
    <w:rsid w:val="755F32A3"/>
    <w:rsid w:val="75DA6B4D"/>
    <w:rsid w:val="75F0011F"/>
    <w:rsid w:val="76027075"/>
    <w:rsid w:val="767336A0"/>
    <w:rsid w:val="76E72CFC"/>
    <w:rsid w:val="77382C28"/>
    <w:rsid w:val="778925D9"/>
    <w:rsid w:val="78103A0B"/>
    <w:rsid w:val="78395DAD"/>
    <w:rsid w:val="78B8535B"/>
    <w:rsid w:val="78E21909"/>
    <w:rsid w:val="79747A23"/>
    <w:rsid w:val="79B85D8B"/>
    <w:rsid w:val="79F61792"/>
    <w:rsid w:val="7A291E51"/>
    <w:rsid w:val="7A34180A"/>
    <w:rsid w:val="7AF508CB"/>
    <w:rsid w:val="7B825CBD"/>
    <w:rsid w:val="7B98103C"/>
    <w:rsid w:val="7C4A62E0"/>
    <w:rsid w:val="7F5C537E"/>
    <w:rsid w:val="7FDB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5"/>
    <w:qFormat/>
    <w:uiPriority w:val="9"/>
    <w:pPr>
      <w:adjustRightInd/>
      <w:snapToGrid/>
      <w:spacing w:before="100" w:beforeAutospacing="1" w:after="100" w:afterAutospacing="1"/>
      <w:outlineLvl w:val="0"/>
    </w:pPr>
    <w:rPr>
      <w:rFonts w:ascii="宋体" w:hAnsi="宋体" w:eastAsia="宋体" w:cs="宋体"/>
      <w:b/>
      <w:bCs/>
      <w:kern w:val="36"/>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9"/>
    <w:semiHidden/>
    <w:unhideWhenUsed/>
    <w:qFormat/>
    <w:uiPriority w:val="99"/>
    <w:pPr>
      <w:spacing w:after="0"/>
    </w:pPr>
    <w:rPr>
      <w:sz w:val="18"/>
      <w:szCs w:val="18"/>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unhideWhenUsed/>
    <w:qFormat/>
    <w:uiPriority w:val="99"/>
    <w:rPr>
      <w:color w:val="888888"/>
      <w:u w:val="none"/>
    </w:rPr>
  </w:style>
  <w:style w:type="paragraph" w:customStyle="1" w:styleId="12">
    <w:name w:val="Char"/>
    <w:basedOn w:val="1"/>
    <w:qFormat/>
    <w:uiPriority w:val="0"/>
    <w:pPr>
      <w:autoSpaceDE w:val="0"/>
      <w:autoSpaceDN w:val="0"/>
      <w:spacing w:line="360" w:lineRule="auto"/>
      <w:ind w:firstLine="560" w:firstLineChars="200"/>
    </w:pPr>
    <w:rPr>
      <w:szCs w:val="24"/>
    </w:rPr>
  </w:style>
  <w:style w:type="character" w:customStyle="1" w:styleId="13">
    <w:name w:val="页眉 Char"/>
    <w:basedOn w:val="8"/>
    <w:link w:val="5"/>
    <w:semiHidden/>
    <w:qFormat/>
    <w:uiPriority w:val="99"/>
    <w:rPr>
      <w:rFonts w:ascii="Tahoma" w:hAnsi="Tahoma"/>
      <w:sz w:val="18"/>
      <w:szCs w:val="18"/>
    </w:rPr>
  </w:style>
  <w:style w:type="character" w:customStyle="1" w:styleId="14">
    <w:name w:val="页脚 Char"/>
    <w:basedOn w:val="8"/>
    <w:link w:val="4"/>
    <w:qFormat/>
    <w:uiPriority w:val="99"/>
    <w:rPr>
      <w:rFonts w:ascii="Tahoma" w:hAnsi="Tahoma"/>
      <w:sz w:val="18"/>
      <w:szCs w:val="18"/>
    </w:rPr>
  </w:style>
  <w:style w:type="character" w:customStyle="1" w:styleId="15">
    <w:name w:val="标题 1 Char"/>
    <w:basedOn w:val="8"/>
    <w:link w:val="2"/>
    <w:qFormat/>
    <w:uiPriority w:val="9"/>
    <w:rPr>
      <w:rFonts w:ascii="宋体" w:hAnsi="宋体" w:eastAsia="宋体" w:cs="宋体"/>
      <w:b/>
      <w:bCs/>
      <w:kern w:val="36"/>
      <w:sz w:val="18"/>
      <w:szCs w:val="18"/>
    </w:rPr>
  </w:style>
  <w:style w:type="character" w:customStyle="1" w:styleId="16">
    <w:name w:val="smallfont2"/>
    <w:basedOn w:val="8"/>
    <w:qFormat/>
    <w:uiPriority w:val="0"/>
    <w:rPr>
      <w:color w:val="FFFFFF"/>
      <w:sz w:val="15"/>
      <w:szCs w:val="15"/>
      <w:shd w:val="clear" w:color="auto" w:fill="40B9F2"/>
    </w:rPr>
  </w:style>
  <w:style w:type="character" w:customStyle="1" w:styleId="17">
    <w:name w:val="medfont2"/>
    <w:basedOn w:val="8"/>
    <w:qFormat/>
    <w:uiPriority w:val="0"/>
    <w:rPr>
      <w:color w:val="FFFFFF"/>
      <w:sz w:val="21"/>
      <w:szCs w:val="21"/>
      <w:shd w:val="clear" w:color="auto" w:fill="40B9F2"/>
    </w:rPr>
  </w:style>
  <w:style w:type="character" w:customStyle="1" w:styleId="18">
    <w:name w:val="largefont2"/>
    <w:basedOn w:val="8"/>
    <w:qFormat/>
    <w:uiPriority w:val="0"/>
    <w:rPr>
      <w:color w:val="FFFFFF"/>
      <w:sz w:val="24"/>
      <w:szCs w:val="24"/>
      <w:shd w:val="clear" w:color="auto" w:fill="40B9F2"/>
    </w:rPr>
  </w:style>
  <w:style w:type="character" w:customStyle="1" w:styleId="19">
    <w:name w:val="批注框文本 Char"/>
    <w:basedOn w:val="8"/>
    <w:link w:val="3"/>
    <w:semiHidden/>
    <w:qFormat/>
    <w:uiPriority w:val="99"/>
    <w:rPr>
      <w:rFonts w:ascii="Tahoma" w:hAnsi="Tahoma" w:cstheme="minorBidi"/>
      <w:sz w:val="18"/>
      <w:szCs w:val="18"/>
    </w:rPr>
  </w:style>
  <w:style w:type="paragraph" w:styleId="20">
    <w:name w:val="List Paragraph"/>
    <w:basedOn w:val="1"/>
    <w:unhideWhenUsed/>
    <w:qFormat/>
    <w:uiPriority w:val="99"/>
    <w:pPr>
      <w:ind w:firstLine="420" w:firstLineChars="200"/>
    </w:pPr>
  </w:style>
  <w:style w:type="character" w:customStyle="1" w:styleId="21">
    <w:name w:val="NormalCharacter"/>
    <w:link w:val="22"/>
    <w:qFormat/>
    <w:uiPriority w:val="0"/>
  </w:style>
  <w:style w:type="paragraph" w:customStyle="1" w:styleId="22">
    <w:name w:val="UserStyle_2"/>
    <w:basedOn w:val="1"/>
    <w:link w:val="21"/>
    <w:qFormat/>
    <w:uiPriority w:val="0"/>
    <w:pPr>
      <w:jc w:val="both"/>
      <w:textAlignment w:val="baseline"/>
    </w:pPr>
  </w:style>
  <w:style w:type="paragraph" w:customStyle="1" w:styleId="23">
    <w:name w:val="HtmlNormal"/>
    <w:basedOn w:val="1"/>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kern w:val="0"/>
      <w:sz w:val="24"/>
      <w:szCs w:val="22"/>
      <w:lang w:val="en-US" w:eastAsia="zh-CN"/>
    </w:rPr>
  </w:style>
  <w:style w:type="table" w:customStyle="1" w:styleId="2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2423</Words>
  <Characters>2624</Characters>
  <Lines>23</Lines>
  <Paragraphs>6</Paragraphs>
  <TotalTime>8</TotalTime>
  <ScaleCrop>false</ScaleCrop>
  <LinksUpToDate>false</LinksUpToDate>
  <CharactersWithSpaces>2663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盖世英雄</cp:lastModifiedBy>
  <cp:lastPrinted>2023-03-23T06:56:00Z</cp:lastPrinted>
  <dcterms:modified xsi:type="dcterms:W3CDTF">2023-04-13T12:35:53Z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8FDFBEB278E643928A8C8178D144D6ED</vt:lpwstr>
  </property>
</Properties>
</file>